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3F0" w:rsidRDefault="002C4493" w:rsidP="00750DA6">
      <w:r w:rsidRPr="00D333A9">
        <w:rPr>
          <w:noProof/>
        </w:rPr>
        <w:drawing>
          <wp:anchor distT="0" distB="0" distL="114300" distR="114300" simplePos="0" relativeHeight="251658240" behindDoc="0" locked="0" layoutInCell="1" allowOverlap="1" wp14:anchorId="1B3D49E7" wp14:editId="1948E78E">
            <wp:simplePos x="0" y="0"/>
            <wp:positionH relativeFrom="column">
              <wp:align>left</wp:align>
            </wp:positionH>
            <wp:positionV relativeFrom="paragraph">
              <wp:align>top</wp:align>
            </wp:positionV>
            <wp:extent cx="2533650" cy="628650"/>
            <wp:effectExtent l="0" t="0" r="0" b="0"/>
            <wp:wrapSquare wrapText="bothSides"/>
            <wp:docPr id="1" name="Image 1" descr="CSS couleurs-kleuren léger-l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S couleurs-kleuren léger-lic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0" cy="628650"/>
                    </a:xfrm>
                    <a:prstGeom prst="rect">
                      <a:avLst/>
                    </a:prstGeom>
                    <a:noFill/>
                    <a:ln>
                      <a:noFill/>
                    </a:ln>
                  </pic:spPr>
                </pic:pic>
              </a:graphicData>
            </a:graphic>
          </wp:anchor>
        </w:drawing>
      </w:r>
    </w:p>
    <w:p w:rsidR="00764A27" w:rsidRPr="000733F0" w:rsidRDefault="000733F0" w:rsidP="000733F0">
      <w:pPr>
        <w:tabs>
          <w:tab w:val="left" w:pos="3570"/>
        </w:tabs>
      </w:pPr>
      <w:r>
        <w:tab/>
      </w:r>
      <w:r>
        <w:tab/>
      </w:r>
      <w:r>
        <w:tab/>
      </w:r>
      <w:r>
        <w:tab/>
      </w:r>
      <w:r>
        <w:tab/>
      </w:r>
      <w:r>
        <w:tab/>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7"/>
      </w:tblGrid>
      <w:tr w:rsidR="002C4493" w:rsidRPr="00D333A9" w:rsidTr="00B07709">
        <w:tc>
          <w:tcPr>
            <w:tcW w:w="5000" w:type="pct"/>
            <w:vAlign w:val="center"/>
          </w:tcPr>
          <w:p w:rsidR="002C4493" w:rsidRPr="00D333A9" w:rsidRDefault="002C4493" w:rsidP="00B07709">
            <w:pPr>
              <w:jc w:val="center"/>
              <w:rPr>
                <w:bCs/>
                <w:sz w:val="24"/>
                <w:szCs w:val="24"/>
                <w:lang w:val="fr-BE"/>
              </w:rPr>
            </w:pPr>
          </w:p>
          <w:p w:rsidR="002C4493" w:rsidRPr="00D333A9" w:rsidRDefault="002C4493" w:rsidP="00B07709">
            <w:pPr>
              <w:jc w:val="center"/>
              <w:rPr>
                <w:lang w:val="fr-BE"/>
              </w:rPr>
            </w:pPr>
            <w:r w:rsidRPr="00D333A9">
              <w:rPr>
                <w:b/>
                <w:bCs/>
                <w:sz w:val="28"/>
                <w:lang w:val="fr-BE"/>
              </w:rPr>
              <w:t xml:space="preserve">AVIS DU CONSEIL SUPERIEUR </w:t>
            </w:r>
            <w:bookmarkStart w:id="0" w:name="OLE_LINK2"/>
            <w:r w:rsidRPr="00D333A9">
              <w:rPr>
                <w:b/>
                <w:bCs/>
                <w:sz w:val="28"/>
                <w:lang w:val="fr-BE"/>
              </w:rPr>
              <w:t>DE LA SANTE</w:t>
            </w:r>
            <w:bookmarkEnd w:id="0"/>
            <w:r w:rsidRPr="00D333A9">
              <w:rPr>
                <w:b/>
                <w:bCs/>
                <w:sz w:val="28"/>
                <w:lang w:val="fr-BE"/>
              </w:rPr>
              <w:t xml:space="preserve"> N° </w:t>
            </w:r>
            <w:r w:rsidR="00B07709" w:rsidRPr="00D333A9">
              <w:rPr>
                <w:b/>
                <w:bCs/>
                <w:sz w:val="28"/>
                <w:lang w:val="fr-BE"/>
              </w:rPr>
              <w:t>9438</w:t>
            </w:r>
          </w:p>
          <w:p w:rsidR="002C4493" w:rsidRPr="00D333A9" w:rsidRDefault="002C4493" w:rsidP="00B07709">
            <w:pPr>
              <w:spacing w:line="280" w:lineRule="exact"/>
              <w:jc w:val="center"/>
              <w:rPr>
                <w:rFonts w:cs="Arial"/>
                <w:bCs/>
                <w:sz w:val="24"/>
                <w:szCs w:val="24"/>
                <w:lang w:val="fr-BE"/>
              </w:rPr>
            </w:pPr>
          </w:p>
          <w:p w:rsidR="002C4493" w:rsidRPr="00033A48" w:rsidRDefault="007E3D65" w:rsidP="00B07709">
            <w:pPr>
              <w:spacing w:line="280" w:lineRule="exact"/>
              <w:jc w:val="center"/>
              <w:rPr>
                <w:rFonts w:cs="Arial"/>
                <w:b/>
                <w:bCs/>
                <w:sz w:val="24"/>
                <w:szCs w:val="24"/>
                <w:lang w:val="fr-BE"/>
              </w:rPr>
            </w:pPr>
            <w:r w:rsidRPr="00033A48">
              <w:rPr>
                <w:rFonts w:cs="Arial"/>
                <w:b/>
                <w:sz w:val="24"/>
                <w:szCs w:val="24"/>
                <w:lang w:val="fr-BE"/>
              </w:rPr>
              <w:t>Risques liés à la consommation d’alcool</w:t>
            </w:r>
            <w:r w:rsidRPr="00033A48" w:rsidDel="007E3D65">
              <w:rPr>
                <w:rFonts w:cs="Arial"/>
                <w:b/>
                <w:bCs/>
                <w:sz w:val="24"/>
                <w:szCs w:val="24"/>
                <w:lang w:val="fr-BE"/>
              </w:rPr>
              <w:t xml:space="preserve"> </w:t>
            </w:r>
          </w:p>
          <w:p w:rsidR="00A97B44" w:rsidRPr="00A97B44" w:rsidRDefault="00A97B44" w:rsidP="00B07709">
            <w:pPr>
              <w:spacing w:line="280" w:lineRule="exact"/>
              <w:jc w:val="center"/>
              <w:rPr>
                <w:rFonts w:cs="Arial"/>
                <w:bCs/>
                <w:sz w:val="24"/>
                <w:szCs w:val="24"/>
                <w:lang w:val="fr-BE"/>
              </w:rPr>
            </w:pPr>
          </w:p>
          <w:p w:rsidR="002C4493" w:rsidRPr="00D333A9" w:rsidRDefault="00CA60DC" w:rsidP="00B07709">
            <w:pPr>
              <w:spacing w:line="280" w:lineRule="exact"/>
              <w:jc w:val="center"/>
              <w:rPr>
                <w:rFonts w:cs="Arial"/>
                <w:bCs/>
              </w:rPr>
            </w:pPr>
            <w:r w:rsidRPr="00D333A9">
              <w:rPr>
                <w:rFonts w:cs="Arial"/>
                <w:bCs/>
              </w:rPr>
              <w:t>This report aims at providing</w:t>
            </w:r>
            <w:r w:rsidR="002C4493" w:rsidRPr="00D333A9">
              <w:rPr>
                <w:rFonts w:cs="Arial"/>
                <w:bCs/>
              </w:rPr>
              <w:t xml:space="preserve"> </w:t>
            </w:r>
            <w:r w:rsidR="003A560B" w:rsidRPr="00D333A9">
              <w:rPr>
                <w:rFonts w:cs="Arial"/>
                <w:bCs/>
              </w:rPr>
              <w:t>population</w:t>
            </w:r>
            <w:r w:rsidR="002C4493" w:rsidRPr="00D333A9">
              <w:rPr>
                <w:rFonts w:cs="Arial"/>
                <w:bCs/>
              </w:rPr>
              <w:t xml:space="preserve"> </w:t>
            </w:r>
            <w:r w:rsidRPr="00D333A9">
              <w:rPr>
                <w:rFonts w:cs="Arial"/>
                <w:bCs/>
              </w:rPr>
              <w:t xml:space="preserve">with </w:t>
            </w:r>
            <w:r w:rsidR="002C4493" w:rsidRPr="00D333A9">
              <w:rPr>
                <w:rFonts w:cs="Arial"/>
                <w:bCs/>
              </w:rPr>
              <w:t xml:space="preserve">specific recommendations on </w:t>
            </w:r>
            <w:r w:rsidR="003A560B" w:rsidRPr="00D333A9">
              <w:t>low-risk alcohol drinking</w:t>
            </w:r>
            <w:r w:rsidR="002C4493" w:rsidRPr="00D333A9">
              <w:rPr>
                <w:rFonts w:cs="Arial"/>
                <w:bCs/>
              </w:rPr>
              <w:t>.</w:t>
            </w:r>
          </w:p>
          <w:p w:rsidR="002C4493" w:rsidRPr="00D333A9" w:rsidRDefault="002C4493" w:rsidP="00B07709">
            <w:pPr>
              <w:spacing w:line="280" w:lineRule="exact"/>
              <w:jc w:val="center"/>
              <w:rPr>
                <w:rFonts w:cs="Arial"/>
                <w:bCs/>
                <w:sz w:val="24"/>
                <w:szCs w:val="24"/>
              </w:rPr>
            </w:pPr>
          </w:p>
          <w:p w:rsidR="002C4493" w:rsidRPr="00D333A9" w:rsidRDefault="002C4493" w:rsidP="00B07709">
            <w:pPr>
              <w:jc w:val="center"/>
              <w:rPr>
                <w:sz w:val="20"/>
                <w:lang w:val="fr-BE"/>
              </w:rPr>
            </w:pPr>
            <w:r w:rsidRPr="00D333A9">
              <w:rPr>
                <w:sz w:val="20"/>
                <w:lang w:val="fr-BE"/>
              </w:rPr>
              <w:t>Version validée par le Collège de</w:t>
            </w:r>
          </w:p>
          <w:p w:rsidR="002C4493" w:rsidRPr="00D333A9" w:rsidRDefault="00035F1E" w:rsidP="00B07709">
            <w:pPr>
              <w:jc w:val="center"/>
              <w:rPr>
                <w:noProof/>
                <w:sz w:val="20"/>
                <w:lang w:val="fr-BE"/>
              </w:rPr>
            </w:pPr>
            <w:r w:rsidRPr="00D333A9">
              <w:rPr>
                <w:sz w:val="20"/>
                <w:lang w:val="fr-BE"/>
              </w:rPr>
              <w:t>Mai 2018</w:t>
            </w:r>
            <w:r w:rsidR="002C4493" w:rsidRPr="00D333A9">
              <w:rPr>
                <w:rStyle w:val="Appelnotedebasdep"/>
                <w:sz w:val="20"/>
                <w:lang w:val="fr-BE"/>
              </w:rPr>
              <w:footnoteReference w:id="1"/>
            </w:r>
          </w:p>
          <w:p w:rsidR="002C4493" w:rsidRPr="00D333A9" w:rsidRDefault="002C4493" w:rsidP="00F40D3F">
            <w:pPr>
              <w:spacing w:line="280" w:lineRule="exact"/>
              <w:rPr>
                <w:rFonts w:cs="Arial"/>
                <w:sz w:val="24"/>
                <w:szCs w:val="24"/>
                <w:lang w:val="fr-BE"/>
              </w:rPr>
            </w:pPr>
          </w:p>
        </w:tc>
      </w:tr>
    </w:tbl>
    <w:p w:rsidR="00284EB1" w:rsidRDefault="00284EB1" w:rsidP="00284EB1">
      <w:pPr>
        <w:rPr>
          <w:lang w:val="fr-BE"/>
        </w:rPr>
      </w:pPr>
    </w:p>
    <w:p w:rsidR="00033A48" w:rsidRPr="00D333A9" w:rsidRDefault="00033A48" w:rsidP="00284EB1">
      <w:pPr>
        <w:rPr>
          <w:lang w:val="fr-BE"/>
        </w:rPr>
      </w:pPr>
    </w:p>
    <w:p w:rsidR="00284EB1" w:rsidRPr="00D333A9" w:rsidRDefault="00284EB1" w:rsidP="00284EB1">
      <w:pPr>
        <w:pStyle w:val="Titre1"/>
      </w:pPr>
      <w:r w:rsidRPr="00D333A9">
        <w:t>Introduction ET QUESTION</w:t>
      </w:r>
    </w:p>
    <w:p w:rsidR="001771BF" w:rsidRPr="00D333A9" w:rsidRDefault="00323BAF" w:rsidP="001771BF">
      <w:pPr>
        <w:rPr>
          <w:lang w:val="fr-BE"/>
        </w:rPr>
      </w:pPr>
      <w:r w:rsidRPr="00D333A9">
        <w:rPr>
          <w:lang w:val="fr-BE"/>
        </w:rPr>
        <w:t>Le Co</w:t>
      </w:r>
      <w:r w:rsidR="00B222A6" w:rsidRPr="00D333A9">
        <w:rPr>
          <w:lang w:val="fr-BE"/>
        </w:rPr>
        <w:t>nseil Supérieur de la Santé (CSS) a r</w:t>
      </w:r>
      <w:r w:rsidR="00B06A30" w:rsidRPr="00D333A9">
        <w:rPr>
          <w:lang w:val="fr-BE"/>
        </w:rPr>
        <w:t>eçu en juillet 2017</w:t>
      </w:r>
      <w:r w:rsidR="00B222A6" w:rsidRPr="00D333A9">
        <w:rPr>
          <w:lang w:val="fr-BE"/>
        </w:rPr>
        <w:t xml:space="preserve"> de Mme la Ministre Maggie De Block, Ministre des Affaires sociales et de la Santé publique, </w:t>
      </w:r>
      <w:r w:rsidR="00B06A30" w:rsidRPr="00D333A9">
        <w:rPr>
          <w:lang w:val="fr-BE"/>
        </w:rPr>
        <w:t>une demande d’élaboration d</w:t>
      </w:r>
      <w:r w:rsidR="00BE2D7E" w:rsidRPr="00D333A9">
        <w:rPr>
          <w:lang w:val="fr-BE"/>
        </w:rPr>
        <w:t>e</w:t>
      </w:r>
      <w:r w:rsidR="00B06A30" w:rsidRPr="00D333A9">
        <w:rPr>
          <w:lang w:val="fr-BE"/>
        </w:rPr>
        <w:t xml:space="preserve"> </w:t>
      </w:r>
      <w:r w:rsidR="00B222A6" w:rsidRPr="00D333A9">
        <w:rPr>
          <w:lang w:val="fr-BE"/>
        </w:rPr>
        <w:t>directive</w:t>
      </w:r>
      <w:r w:rsidR="00BE2D7E" w:rsidRPr="00D333A9">
        <w:rPr>
          <w:lang w:val="fr-BE"/>
        </w:rPr>
        <w:t>s</w:t>
      </w:r>
      <w:r w:rsidR="00B222A6" w:rsidRPr="00D333A9">
        <w:rPr>
          <w:lang w:val="fr-BE"/>
        </w:rPr>
        <w:t xml:space="preserve"> en matière de « </w:t>
      </w:r>
      <w:proofErr w:type="spellStart"/>
      <w:r w:rsidR="00B222A6" w:rsidRPr="00D333A9">
        <w:rPr>
          <w:i/>
          <w:lang w:val="fr-BE"/>
        </w:rPr>
        <w:t>low-risk</w:t>
      </w:r>
      <w:proofErr w:type="spellEnd"/>
      <w:r w:rsidR="00B222A6" w:rsidRPr="00D333A9">
        <w:rPr>
          <w:i/>
          <w:lang w:val="fr-BE"/>
        </w:rPr>
        <w:t xml:space="preserve"> </w:t>
      </w:r>
      <w:proofErr w:type="spellStart"/>
      <w:r w:rsidR="00B222A6" w:rsidRPr="00D333A9">
        <w:rPr>
          <w:i/>
          <w:lang w:val="fr-BE"/>
        </w:rPr>
        <w:t>alcohol</w:t>
      </w:r>
      <w:proofErr w:type="spellEnd"/>
      <w:r w:rsidR="00B222A6" w:rsidRPr="00D333A9">
        <w:rPr>
          <w:i/>
          <w:lang w:val="fr-BE"/>
        </w:rPr>
        <w:t xml:space="preserve"> </w:t>
      </w:r>
      <w:proofErr w:type="spellStart"/>
      <w:r w:rsidR="00B222A6" w:rsidRPr="00D333A9">
        <w:rPr>
          <w:i/>
          <w:lang w:val="fr-BE"/>
        </w:rPr>
        <w:t>drinking</w:t>
      </w:r>
      <w:proofErr w:type="spellEnd"/>
      <w:r w:rsidR="00B222A6" w:rsidRPr="00D333A9">
        <w:rPr>
          <w:lang w:val="fr-BE"/>
        </w:rPr>
        <w:t> ».  En juin de la même année, le CSS a égalemen</w:t>
      </w:r>
      <w:r w:rsidR="00B06A30" w:rsidRPr="00D333A9">
        <w:rPr>
          <w:lang w:val="fr-BE"/>
        </w:rPr>
        <w:t>t reçu un courrier</w:t>
      </w:r>
      <w:r w:rsidR="00B222A6" w:rsidRPr="00D333A9">
        <w:rPr>
          <w:lang w:val="fr-BE"/>
        </w:rPr>
        <w:t xml:space="preserve"> de l’Observatoire de la Santé de la Pr</w:t>
      </w:r>
      <w:r w:rsidR="00B06A30" w:rsidRPr="00D333A9">
        <w:rPr>
          <w:lang w:val="fr-BE"/>
        </w:rPr>
        <w:t xml:space="preserve">ovince du Hainaut, qui souhaitait </w:t>
      </w:r>
      <w:r w:rsidR="00B222A6" w:rsidRPr="00D333A9">
        <w:rPr>
          <w:lang w:val="fr-BE"/>
        </w:rPr>
        <w:t>avoir des recommandations de consommation d’</w:t>
      </w:r>
      <w:r w:rsidRPr="00D333A9">
        <w:rPr>
          <w:lang w:val="fr-BE"/>
        </w:rPr>
        <w:t>alcool hebdomadaire à ne pas dépasser</w:t>
      </w:r>
      <w:r w:rsidR="00B222A6" w:rsidRPr="00D333A9">
        <w:rPr>
          <w:lang w:val="fr-BE"/>
        </w:rPr>
        <w:t>, à pouvoir diffuser au grand public. Il ressort de ces demandes la nécessité d</w:t>
      </w:r>
      <w:r w:rsidR="0075501B" w:rsidRPr="00D333A9">
        <w:rPr>
          <w:lang w:val="fr-BE"/>
        </w:rPr>
        <w:t>e disposer de</w:t>
      </w:r>
      <w:r w:rsidR="00B222A6" w:rsidRPr="00D333A9">
        <w:rPr>
          <w:lang w:val="fr-BE"/>
        </w:rPr>
        <w:t xml:space="preserve"> recommandations claires pour la Belgique, </w:t>
      </w:r>
      <w:r w:rsidR="0075501B" w:rsidRPr="00D333A9">
        <w:rPr>
          <w:lang w:val="fr-BE"/>
        </w:rPr>
        <w:t>sachant</w:t>
      </w:r>
      <w:r w:rsidR="00B222A6" w:rsidRPr="00D333A9">
        <w:rPr>
          <w:lang w:val="fr-BE"/>
        </w:rPr>
        <w:t xml:space="preserve"> que plusieurs pays européens ont récemment élaboré de telles directives. </w:t>
      </w:r>
    </w:p>
    <w:p w:rsidR="00033A48" w:rsidRDefault="00B06A30" w:rsidP="001771BF">
      <w:pPr>
        <w:rPr>
          <w:lang w:val="fr-BE"/>
        </w:rPr>
      </w:pPr>
      <w:r w:rsidRPr="00D333A9">
        <w:rPr>
          <w:lang w:val="fr-BE"/>
        </w:rPr>
        <w:t xml:space="preserve">La Ministre </w:t>
      </w:r>
      <w:r w:rsidR="0075501B" w:rsidRPr="00D333A9">
        <w:rPr>
          <w:lang w:val="fr-BE"/>
        </w:rPr>
        <w:t xml:space="preserve">souhaite </w:t>
      </w:r>
      <w:r w:rsidR="00B222A6" w:rsidRPr="00D333A9">
        <w:rPr>
          <w:lang w:val="fr-BE"/>
        </w:rPr>
        <w:t xml:space="preserve">avoir un message univoque </w:t>
      </w:r>
      <w:r w:rsidR="0075501B" w:rsidRPr="00D333A9">
        <w:rPr>
          <w:lang w:val="fr-BE"/>
        </w:rPr>
        <w:t>du CSS</w:t>
      </w:r>
      <w:r w:rsidR="00BE2D7E" w:rsidRPr="00D333A9">
        <w:rPr>
          <w:lang w:val="fr-BE"/>
        </w:rPr>
        <w:t>,</w:t>
      </w:r>
      <w:r w:rsidR="0075501B" w:rsidRPr="00D333A9">
        <w:rPr>
          <w:lang w:val="fr-BE"/>
        </w:rPr>
        <w:t xml:space="preserve"> qui permette</w:t>
      </w:r>
      <w:r w:rsidR="00B222A6" w:rsidRPr="00D333A9">
        <w:rPr>
          <w:lang w:val="fr-BE"/>
        </w:rPr>
        <w:t xml:space="preserve"> au citoyen d’être informé des risques </w:t>
      </w:r>
      <w:r w:rsidR="0075501B" w:rsidRPr="00D333A9">
        <w:rPr>
          <w:lang w:val="fr-BE"/>
        </w:rPr>
        <w:t xml:space="preserve">pour sa santé </w:t>
      </w:r>
      <w:r w:rsidR="00BE2D7E" w:rsidRPr="00D333A9">
        <w:rPr>
          <w:lang w:val="fr-BE"/>
        </w:rPr>
        <w:t>de la consommation d’alcool afin d’être en mesure d’</w:t>
      </w:r>
      <w:r w:rsidR="00B222A6" w:rsidRPr="00D333A9">
        <w:rPr>
          <w:lang w:val="fr-BE"/>
        </w:rPr>
        <w:t>adapter</w:t>
      </w:r>
      <w:r w:rsidR="00BE2D7E" w:rsidRPr="00D333A9">
        <w:rPr>
          <w:lang w:val="fr-BE"/>
        </w:rPr>
        <w:t xml:space="preserve"> celle-ci</w:t>
      </w:r>
      <w:r w:rsidR="00B222A6" w:rsidRPr="00D333A9">
        <w:rPr>
          <w:lang w:val="fr-BE"/>
        </w:rPr>
        <w:t xml:space="preserve">. </w:t>
      </w:r>
    </w:p>
    <w:p w:rsidR="0075501B" w:rsidRPr="00D333A9" w:rsidRDefault="00BE2D7E" w:rsidP="001771BF">
      <w:pPr>
        <w:rPr>
          <w:lang w:val="fr-BE"/>
        </w:rPr>
      </w:pPr>
      <w:r w:rsidRPr="00D333A9">
        <w:rPr>
          <w:lang w:val="fr-BE"/>
        </w:rPr>
        <w:t xml:space="preserve">Les recommandations doivent : </w:t>
      </w:r>
    </w:p>
    <w:p w:rsidR="0075501B" w:rsidRPr="00D333A9" w:rsidRDefault="0075501B" w:rsidP="0075501B">
      <w:pPr>
        <w:pStyle w:val="Paragraphedeliste"/>
        <w:numPr>
          <w:ilvl w:val="0"/>
          <w:numId w:val="34"/>
        </w:numPr>
        <w:rPr>
          <w:lang w:val="fr-BE"/>
        </w:rPr>
      </w:pPr>
      <w:r w:rsidRPr="00D333A9">
        <w:rPr>
          <w:lang w:val="fr-BE"/>
        </w:rPr>
        <w:t>e</w:t>
      </w:r>
      <w:r w:rsidR="00E25175" w:rsidRPr="00D333A9">
        <w:rPr>
          <w:lang w:val="fr-BE"/>
        </w:rPr>
        <w:t>n</w:t>
      </w:r>
      <w:r w:rsidRPr="00D333A9">
        <w:rPr>
          <w:lang w:val="fr-BE"/>
        </w:rPr>
        <w:t>visager les</w:t>
      </w:r>
      <w:r w:rsidR="00B222A6" w:rsidRPr="00D333A9">
        <w:rPr>
          <w:lang w:val="fr-BE"/>
        </w:rPr>
        <w:t xml:space="preserve"> différents types de consommation</w:t>
      </w:r>
      <w:r w:rsidRPr="00D333A9">
        <w:rPr>
          <w:lang w:val="fr-BE"/>
        </w:rPr>
        <w:t> :</w:t>
      </w:r>
      <w:r w:rsidR="00E25175" w:rsidRPr="00D333A9">
        <w:rPr>
          <w:lang w:val="fr-BE"/>
        </w:rPr>
        <w:t xml:space="preserve"> </w:t>
      </w:r>
      <w:r w:rsidR="00B222A6" w:rsidRPr="00D333A9">
        <w:rPr>
          <w:lang w:val="fr-BE"/>
        </w:rPr>
        <w:t xml:space="preserve">journalière, ivresse ponctuelle, </w:t>
      </w:r>
      <w:proofErr w:type="spellStart"/>
      <w:r w:rsidR="00B222A6" w:rsidRPr="00D333A9">
        <w:rPr>
          <w:i/>
          <w:lang w:val="fr-BE"/>
        </w:rPr>
        <w:t>binge</w:t>
      </w:r>
      <w:proofErr w:type="spellEnd"/>
      <w:r w:rsidR="00B222A6" w:rsidRPr="00D333A9">
        <w:rPr>
          <w:i/>
          <w:lang w:val="fr-BE"/>
        </w:rPr>
        <w:t xml:space="preserve"> </w:t>
      </w:r>
      <w:proofErr w:type="spellStart"/>
      <w:r w:rsidR="00B222A6" w:rsidRPr="00D333A9">
        <w:rPr>
          <w:i/>
          <w:lang w:val="fr-BE"/>
        </w:rPr>
        <w:t>drinking</w:t>
      </w:r>
      <w:proofErr w:type="spellEnd"/>
      <w:r w:rsidR="00033A48">
        <w:rPr>
          <w:lang w:val="fr-BE"/>
        </w:rPr>
        <w:t xml:space="preserve">, etc. </w:t>
      </w:r>
      <w:r w:rsidRPr="00D333A9">
        <w:rPr>
          <w:lang w:val="fr-BE"/>
        </w:rPr>
        <w:t xml:space="preserve">; </w:t>
      </w:r>
    </w:p>
    <w:p w:rsidR="0075501B" w:rsidRPr="00D333A9" w:rsidRDefault="0075501B" w:rsidP="0075501B">
      <w:pPr>
        <w:pStyle w:val="Paragraphedeliste"/>
        <w:numPr>
          <w:ilvl w:val="0"/>
          <w:numId w:val="34"/>
        </w:numPr>
        <w:rPr>
          <w:lang w:val="fr-BE"/>
        </w:rPr>
      </w:pPr>
      <w:r w:rsidRPr="00D333A9">
        <w:rPr>
          <w:lang w:val="fr-BE"/>
        </w:rPr>
        <w:t>toucher les</w:t>
      </w:r>
      <w:r w:rsidR="00B222A6" w:rsidRPr="00D333A9">
        <w:rPr>
          <w:lang w:val="fr-BE"/>
        </w:rPr>
        <w:t xml:space="preserve"> différents groupes cibles</w:t>
      </w:r>
      <w:r w:rsidRPr="00D333A9">
        <w:rPr>
          <w:lang w:val="fr-BE"/>
        </w:rPr>
        <w:t xml:space="preserve"> : </w:t>
      </w:r>
      <w:r w:rsidR="00B222A6" w:rsidRPr="00D333A9">
        <w:rPr>
          <w:lang w:val="fr-BE"/>
        </w:rPr>
        <w:t>jeunes, femmes enceintes, personnes âgées</w:t>
      </w:r>
      <w:r w:rsidR="00033A48">
        <w:rPr>
          <w:lang w:val="fr-BE"/>
        </w:rPr>
        <w:t xml:space="preserve">, etc. </w:t>
      </w:r>
      <w:r w:rsidRPr="00D333A9">
        <w:rPr>
          <w:lang w:val="fr-BE"/>
        </w:rPr>
        <w:t>;</w:t>
      </w:r>
    </w:p>
    <w:p w:rsidR="00B222A6" w:rsidRPr="00D333A9" w:rsidRDefault="0075501B" w:rsidP="0075501B">
      <w:pPr>
        <w:pStyle w:val="Paragraphedeliste"/>
        <w:numPr>
          <w:ilvl w:val="0"/>
          <w:numId w:val="34"/>
        </w:numPr>
        <w:rPr>
          <w:lang w:val="fr-BE"/>
        </w:rPr>
      </w:pPr>
      <w:r w:rsidRPr="00D333A9">
        <w:rPr>
          <w:lang w:val="fr-BE"/>
        </w:rPr>
        <w:t>t</w:t>
      </w:r>
      <w:r w:rsidR="00323BAF" w:rsidRPr="00D333A9">
        <w:rPr>
          <w:lang w:val="fr-BE"/>
        </w:rPr>
        <w:t>enir compte des malentendus et fausses informations l</w:t>
      </w:r>
      <w:r w:rsidRPr="00D333A9">
        <w:rPr>
          <w:lang w:val="fr-BE"/>
        </w:rPr>
        <w:t xml:space="preserve">iées à la consommation d’alcool ; </w:t>
      </w:r>
      <w:r w:rsidR="00323BAF" w:rsidRPr="00D333A9">
        <w:rPr>
          <w:lang w:val="fr-BE"/>
        </w:rPr>
        <w:t xml:space="preserve"> </w:t>
      </w:r>
    </w:p>
    <w:p w:rsidR="00D02138" w:rsidRPr="00D333A9" w:rsidRDefault="00B222A6" w:rsidP="00D02138">
      <w:pPr>
        <w:pStyle w:val="Paragraphedeliste"/>
        <w:numPr>
          <w:ilvl w:val="0"/>
          <w:numId w:val="34"/>
        </w:numPr>
        <w:rPr>
          <w:lang w:val="fr-BE"/>
        </w:rPr>
      </w:pPr>
      <w:r w:rsidRPr="00D333A9">
        <w:rPr>
          <w:lang w:val="fr-BE"/>
        </w:rPr>
        <w:t xml:space="preserve">s’adresser tant à la population générale qu’aux professionnels de la santé. </w:t>
      </w:r>
    </w:p>
    <w:p w:rsidR="00284EB1" w:rsidRPr="00D333A9" w:rsidRDefault="00284EB1" w:rsidP="00284EB1">
      <w:pPr>
        <w:rPr>
          <w:bCs/>
          <w:lang w:val="fr-BE"/>
        </w:rPr>
      </w:pPr>
    </w:p>
    <w:p w:rsidR="00E25175" w:rsidRPr="00D333A9" w:rsidRDefault="00E25175">
      <w:pPr>
        <w:spacing w:after="200" w:line="276" w:lineRule="auto"/>
        <w:jc w:val="left"/>
        <w:rPr>
          <w:rFonts w:eastAsiaTheme="majorEastAsia" w:cstheme="majorBidi"/>
          <w:b/>
          <w:bCs/>
          <w:caps/>
          <w:szCs w:val="28"/>
          <w:lang w:val="fr-BE"/>
        </w:rPr>
      </w:pPr>
      <w:r w:rsidRPr="00D333A9">
        <w:rPr>
          <w:lang w:val="fr-BE"/>
        </w:rPr>
        <w:br w:type="page"/>
      </w:r>
    </w:p>
    <w:p w:rsidR="00284EB1" w:rsidRPr="00D333A9" w:rsidRDefault="00284EB1" w:rsidP="00284EB1">
      <w:pPr>
        <w:pStyle w:val="Titre1"/>
      </w:pPr>
      <w:r w:rsidRPr="00D333A9">
        <w:t>recommandations</w:t>
      </w:r>
    </w:p>
    <w:p w:rsidR="00B06A30" w:rsidRPr="00D333A9" w:rsidRDefault="00B06A30" w:rsidP="00F40D3F">
      <w:pPr>
        <w:pStyle w:val="Titre2"/>
        <w:rPr>
          <w:lang w:val="fr-BE"/>
        </w:rPr>
      </w:pPr>
      <w:r w:rsidRPr="00D333A9">
        <w:rPr>
          <w:lang w:val="fr-BE"/>
        </w:rPr>
        <w:t>Préambule</w:t>
      </w:r>
    </w:p>
    <w:p w:rsidR="00B06A30" w:rsidRPr="00D333A9" w:rsidRDefault="00B06A30" w:rsidP="00B06A30">
      <w:pPr>
        <w:rPr>
          <w:lang w:val="fr-BE"/>
        </w:rPr>
      </w:pPr>
      <w:r w:rsidRPr="00D333A9">
        <w:rPr>
          <w:lang w:val="fr-BE"/>
        </w:rPr>
        <w:t>Le CSS considère qu’une « </w:t>
      </w:r>
      <w:r w:rsidRPr="00D333A9">
        <w:rPr>
          <w:b/>
          <w:i/>
          <w:lang w:val="fr-BE"/>
        </w:rPr>
        <w:t>unité standard d’alcool</w:t>
      </w:r>
      <w:r w:rsidR="008E6C0E">
        <w:rPr>
          <w:lang w:val="fr-BE"/>
        </w:rPr>
        <w:t> » correspond à 12,</w:t>
      </w:r>
      <w:r w:rsidRPr="00D333A9">
        <w:rPr>
          <w:lang w:val="fr-BE"/>
        </w:rPr>
        <w:t>7 ml d’alcool pur</w:t>
      </w:r>
      <w:r w:rsidR="00FA7A97" w:rsidRPr="00D333A9">
        <w:rPr>
          <w:lang w:val="fr-BE"/>
        </w:rPr>
        <w:t>,</w:t>
      </w:r>
      <w:r w:rsidRPr="00D333A9">
        <w:rPr>
          <w:lang w:val="fr-BE"/>
        </w:rPr>
        <w:t xml:space="preserve"> c’est-à-dire 10g d’alcool (pour de plus amples explications, cf. Point IV.1).</w:t>
      </w:r>
      <w:r w:rsidRPr="00D333A9">
        <w:rPr>
          <w:lang w:val="fr-BE"/>
        </w:rPr>
        <w:br/>
      </w:r>
    </w:p>
    <w:p w:rsidR="00140E7B" w:rsidRPr="00D333A9" w:rsidRDefault="00140E7B" w:rsidP="00B06A30">
      <w:pPr>
        <w:rPr>
          <w:lang w:val="fr-BE"/>
        </w:rPr>
      </w:pPr>
      <w:r w:rsidRPr="00D333A9">
        <w:rPr>
          <w:lang w:val="fr-BE"/>
        </w:rPr>
        <w:t>Table 1 : Définition de l’unité standard d’alcool</w:t>
      </w:r>
    </w:p>
    <w:tbl>
      <w:tblPr>
        <w:tblStyle w:val="Grilledutableau"/>
        <w:tblW w:w="9361" w:type="dxa"/>
        <w:tblInd w:w="-152" w:type="dxa"/>
        <w:tblLook w:val="04A0" w:firstRow="1" w:lastRow="0" w:firstColumn="1" w:lastColumn="0" w:noHBand="0" w:noVBand="1"/>
      </w:tblPr>
      <w:tblGrid>
        <w:gridCol w:w="1745"/>
        <w:gridCol w:w="1295"/>
        <w:gridCol w:w="1197"/>
        <w:gridCol w:w="1439"/>
        <w:gridCol w:w="1244"/>
        <w:gridCol w:w="1165"/>
        <w:gridCol w:w="1276"/>
      </w:tblGrid>
      <w:tr w:rsidR="00B06A30" w:rsidRPr="005D32D9" w:rsidTr="00280959">
        <w:tc>
          <w:tcPr>
            <w:tcW w:w="9361" w:type="dxa"/>
            <w:gridSpan w:val="7"/>
          </w:tcPr>
          <w:p w:rsidR="00B06A30" w:rsidRPr="00D333A9" w:rsidRDefault="00B06A30" w:rsidP="00B06A30">
            <w:pPr>
              <w:jc w:val="center"/>
              <w:rPr>
                <w:b/>
                <w:sz w:val="22"/>
                <w:szCs w:val="20"/>
                <w:lang w:val="fr-BE"/>
              </w:rPr>
            </w:pPr>
            <w:r w:rsidRPr="00D333A9">
              <w:rPr>
                <w:rFonts w:eastAsiaTheme="minorHAnsi"/>
                <w:b/>
                <w:sz w:val="22"/>
                <w:szCs w:val="20"/>
                <w:lang w:val="fr-BE" w:eastAsia="en-US"/>
              </w:rPr>
              <w:t>u</w:t>
            </w:r>
            <w:r w:rsidR="008E6C0E">
              <w:rPr>
                <w:rFonts w:eastAsiaTheme="minorHAnsi"/>
                <w:b/>
                <w:sz w:val="22"/>
                <w:szCs w:val="20"/>
                <w:lang w:val="fr-BE" w:eastAsia="en-US"/>
              </w:rPr>
              <w:t>ne unité standard d’alcool = 12,</w:t>
            </w:r>
            <w:r w:rsidRPr="00D333A9">
              <w:rPr>
                <w:rFonts w:eastAsiaTheme="minorHAnsi"/>
                <w:b/>
                <w:sz w:val="22"/>
                <w:szCs w:val="20"/>
                <w:lang w:val="fr-BE" w:eastAsia="en-US"/>
              </w:rPr>
              <w:t>7 ml d’alcool pur = 10</w:t>
            </w:r>
            <w:r w:rsidR="008E6C0E">
              <w:rPr>
                <w:rFonts w:eastAsiaTheme="minorHAnsi"/>
                <w:b/>
                <w:sz w:val="22"/>
                <w:szCs w:val="20"/>
                <w:lang w:val="fr-BE" w:eastAsia="en-US"/>
              </w:rPr>
              <w:t xml:space="preserve"> </w:t>
            </w:r>
            <w:r w:rsidRPr="00D333A9">
              <w:rPr>
                <w:rFonts w:eastAsiaTheme="minorHAnsi"/>
                <w:b/>
                <w:sz w:val="22"/>
                <w:szCs w:val="20"/>
                <w:lang w:val="fr-BE" w:eastAsia="en-US"/>
              </w:rPr>
              <w:t xml:space="preserve">g d’alcool </w:t>
            </w:r>
          </w:p>
        </w:tc>
      </w:tr>
      <w:tr w:rsidR="00B06A30" w:rsidRPr="005D32D9" w:rsidTr="00280959">
        <w:trPr>
          <w:trHeight w:val="670"/>
        </w:trPr>
        <w:tc>
          <w:tcPr>
            <w:tcW w:w="1745" w:type="dxa"/>
            <w:tcBorders>
              <w:top w:val="single" w:sz="4" w:space="0" w:color="auto"/>
            </w:tcBorders>
          </w:tcPr>
          <w:p w:rsidR="00B06A30" w:rsidRPr="00D333A9" w:rsidRDefault="00B06A30" w:rsidP="00B06A30">
            <w:pPr>
              <w:spacing w:after="160" w:line="259" w:lineRule="auto"/>
              <w:jc w:val="left"/>
              <w:rPr>
                <w:bCs/>
                <w:sz w:val="22"/>
                <w:szCs w:val="20"/>
                <w:lang w:val="fr-BE"/>
              </w:rPr>
            </w:pPr>
            <w:r w:rsidRPr="00D333A9">
              <w:rPr>
                <w:bCs/>
                <w:sz w:val="22"/>
                <w:szCs w:val="20"/>
                <w:lang w:val="fr-BE"/>
              </w:rPr>
              <w:t>Exemple de boissons et de volumes</w:t>
            </w:r>
          </w:p>
        </w:tc>
        <w:tc>
          <w:tcPr>
            <w:tcW w:w="1295" w:type="dxa"/>
            <w:tcBorders>
              <w:top w:val="single" w:sz="4" w:space="0" w:color="auto"/>
            </w:tcBorders>
          </w:tcPr>
          <w:p w:rsidR="008E6C0E" w:rsidRDefault="00B06A30" w:rsidP="00E73703">
            <w:pPr>
              <w:jc w:val="center"/>
              <w:rPr>
                <w:rFonts w:eastAsiaTheme="minorHAnsi"/>
                <w:bCs/>
                <w:sz w:val="22"/>
                <w:szCs w:val="20"/>
                <w:lang w:val="fr-BE" w:eastAsia="en-US"/>
              </w:rPr>
            </w:pPr>
            <w:r w:rsidRPr="00D333A9">
              <w:rPr>
                <w:rFonts w:eastAsiaTheme="minorHAnsi"/>
                <w:bCs/>
                <w:sz w:val="22"/>
                <w:szCs w:val="20"/>
                <w:lang w:val="fr-BE" w:eastAsia="en-US"/>
              </w:rPr>
              <w:t>Verre de bière</w:t>
            </w:r>
            <w:r w:rsidR="00E73703" w:rsidRPr="00D333A9">
              <w:rPr>
                <w:rFonts w:eastAsiaTheme="minorHAnsi"/>
                <w:bCs/>
                <w:sz w:val="22"/>
                <w:szCs w:val="20"/>
                <w:lang w:val="fr-BE" w:eastAsia="en-US"/>
              </w:rPr>
              <w:t xml:space="preserve"> </w:t>
            </w:r>
          </w:p>
          <w:p w:rsidR="008E6C0E" w:rsidRDefault="00E73703" w:rsidP="00E73703">
            <w:pPr>
              <w:jc w:val="center"/>
              <w:rPr>
                <w:rFonts w:eastAsiaTheme="minorHAnsi"/>
                <w:bCs/>
                <w:sz w:val="22"/>
                <w:szCs w:val="20"/>
                <w:lang w:val="fr-BE" w:eastAsia="en-US"/>
              </w:rPr>
            </w:pPr>
            <w:r w:rsidRPr="00D333A9">
              <w:rPr>
                <w:rFonts w:eastAsiaTheme="minorHAnsi"/>
                <w:bCs/>
                <w:sz w:val="22"/>
                <w:szCs w:val="20"/>
                <w:lang w:val="fr-BE" w:eastAsia="en-US"/>
              </w:rPr>
              <w:t>(5</w:t>
            </w:r>
            <w:r w:rsidR="008E6C0E">
              <w:rPr>
                <w:rFonts w:eastAsiaTheme="minorHAnsi"/>
                <w:bCs/>
                <w:sz w:val="22"/>
                <w:szCs w:val="20"/>
                <w:lang w:val="fr-BE" w:eastAsia="en-US"/>
              </w:rPr>
              <w:t xml:space="preserve"> </w:t>
            </w:r>
            <w:r w:rsidRPr="00D333A9">
              <w:rPr>
                <w:rFonts w:eastAsiaTheme="minorHAnsi"/>
                <w:bCs/>
                <w:sz w:val="22"/>
                <w:szCs w:val="20"/>
                <w:lang w:val="fr-BE" w:eastAsia="en-US"/>
              </w:rPr>
              <w:t>%)</w:t>
            </w:r>
            <w:r w:rsidR="00B06A30" w:rsidRPr="00D333A9">
              <w:rPr>
                <w:rFonts w:eastAsiaTheme="minorHAnsi"/>
                <w:bCs/>
                <w:sz w:val="22"/>
                <w:szCs w:val="20"/>
                <w:lang w:val="fr-BE" w:eastAsia="en-US"/>
              </w:rPr>
              <w:t xml:space="preserve"> </w:t>
            </w:r>
          </w:p>
          <w:p w:rsidR="00B06A30" w:rsidRPr="00D333A9" w:rsidRDefault="00B06A30" w:rsidP="00E73703">
            <w:pPr>
              <w:jc w:val="center"/>
              <w:rPr>
                <w:rFonts w:eastAsiaTheme="minorHAnsi"/>
                <w:bCs/>
                <w:sz w:val="22"/>
                <w:szCs w:val="20"/>
                <w:lang w:val="fr-BE" w:eastAsia="en-US"/>
              </w:rPr>
            </w:pPr>
            <w:r w:rsidRPr="00D333A9">
              <w:rPr>
                <w:rFonts w:eastAsiaTheme="minorHAnsi"/>
                <w:bCs/>
                <w:sz w:val="22"/>
                <w:szCs w:val="20"/>
                <w:lang w:val="fr-BE" w:eastAsia="en-US"/>
              </w:rPr>
              <w:t>de 25</w:t>
            </w:r>
            <w:r w:rsidR="008E6C0E">
              <w:rPr>
                <w:rFonts w:eastAsiaTheme="minorHAnsi"/>
                <w:bCs/>
                <w:sz w:val="22"/>
                <w:szCs w:val="20"/>
                <w:lang w:val="fr-BE" w:eastAsia="en-US"/>
              </w:rPr>
              <w:t xml:space="preserve"> </w:t>
            </w:r>
            <w:r w:rsidRPr="00D333A9">
              <w:rPr>
                <w:rFonts w:eastAsiaTheme="minorHAnsi"/>
                <w:bCs/>
                <w:sz w:val="22"/>
                <w:szCs w:val="20"/>
                <w:lang w:val="fr-BE" w:eastAsia="en-US"/>
              </w:rPr>
              <w:t>cl</w:t>
            </w:r>
          </w:p>
        </w:tc>
        <w:tc>
          <w:tcPr>
            <w:tcW w:w="1197" w:type="dxa"/>
            <w:tcBorders>
              <w:top w:val="single" w:sz="4" w:space="0" w:color="auto"/>
            </w:tcBorders>
          </w:tcPr>
          <w:p w:rsidR="008E6C0E" w:rsidRDefault="008E6C0E" w:rsidP="00B06A30">
            <w:pPr>
              <w:jc w:val="center"/>
              <w:rPr>
                <w:rFonts w:eastAsiaTheme="minorHAnsi"/>
                <w:bCs/>
                <w:sz w:val="22"/>
                <w:szCs w:val="20"/>
                <w:lang w:val="fr-BE" w:eastAsia="en-US"/>
              </w:rPr>
            </w:pPr>
            <w:r>
              <w:rPr>
                <w:rFonts w:eastAsiaTheme="minorHAnsi"/>
                <w:bCs/>
                <w:sz w:val="22"/>
                <w:szCs w:val="20"/>
                <w:lang w:val="fr-BE" w:eastAsia="en-US"/>
              </w:rPr>
              <w:t xml:space="preserve">Verre de </w:t>
            </w:r>
            <w:r w:rsidR="00B06A30" w:rsidRPr="00D333A9">
              <w:rPr>
                <w:rFonts w:eastAsiaTheme="minorHAnsi"/>
                <w:bCs/>
                <w:sz w:val="22"/>
                <w:szCs w:val="20"/>
                <w:lang w:val="fr-BE" w:eastAsia="en-US"/>
              </w:rPr>
              <w:t>vin</w:t>
            </w:r>
            <w:r w:rsidR="00E73703" w:rsidRPr="00D333A9">
              <w:rPr>
                <w:rFonts w:eastAsiaTheme="minorHAnsi"/>
                <w:bCs/>
                <w:sz w:val="22"/>
                <w:szCs w:val="20"/>
                <w:lang w:val="fr-BE" w:eastAsia="en-US"/>
              </w:rPr>
              <w:t xml:space="preserve"> </w:t>
            </w:r>
          </w:p>
          <w:p w:rsidR="008E6C0E" w:rsidRDefault="00E73703" w:rsidP="00B06A30">
            <w:pPr>
              <w:jc w:val="center"/>
              <w:rPr>
                <w:rFonts w:eastAsiaTheme="minorHAnsi"/>
                <w:bCs/>
                <w:sz w:val="22"/>
                <w:szCs w:val="20"/>
                <w:lang w:val="fr-BE" w:eastAsia="en-US"/>
              </w:rPr>
            </w:pPr>
            <w:r w:rsidRPr="00D333A9">
              <w:rPr>
                <w:rFonts w:eastAsiaTheme="minorHAnsi"/>
                <w:bCs/>
                <w:sz w:val="22"/>
                <w:szCs w:val="20"/>
                <w:lang w:val="fr-BE" w:eastAsia="en-US"/>
              </w:rPr>
              <w:t>(12</w:t>
            </w:r>
            <w:r w:rsidR="008E6C0E">
              <w:rPr>
                <w:rFonts w:eastAsiaTheme="minorHAnsi"/>
                <w:bCs/>
                <w:sz w:val="22"/>
                <w:szCs w:val="20"/>
                <w:lang w:val="fr-BE" w:eastAsia="en-US"/>
              </w:rPr>
              <w:t xml:space="preserve"> </w:t>
            </w:r>
            <w:r w:rsidRPr="00D333A9">
              <w:rPr>
                <w:rFonts w:eastAsiaTheme="minorHAnsi"/>
                <w:bCs/>
                <w:sz w:val="22"/>
                <w:szCs w:val="20"/>
                <w:lang w:val="fr-BE" w:eastAsia="en-US"/>
              </w:rPr>
              <w:t>%)</w:t>
            </w:r>
            <w:r w:rsidR="00B06A30" w:rsidRPr="00D333A9">
              <w:rPr>
                <w:rFonts w:eastAsiaTheme="minorHAnsi"/>
                <w:bCs/>
                <w:sz w:val="22"/>
                <w:szCs w:val="20"/>
                <w:lang w:val="fr-BE" w:eastAsia="en-US"/>
              </w:rPr>
              <w:t xml:space="preserve"> </w:t>
            </w:r>
          </w:p>
          <w:p w:rsidR="00B06A30" w:rsidRPr="00D333A9" w:rsidRDefault="00B06A30" w:rsidP="00B06A30">
            <w:pPr>
              <w:jc w:val="center"/>
              <w:rPr>
                <w:rFonts w:eastAsiaTheme="minorHAnsi"/>
                <w:bCs/>
                <w:sz w:val="22"/>
                <w:szCs w:val="20"/>
                <w:lang w:val="fr-BE" w:eastAsia="en-US"/>
              </w:rPr>
            </w:pPr>
            <w:r w:rsidRPr="00D333A9">
              <w:rPr>
                <w:rFonts w:eastAsiaTheme="minorHAnsi"/>
                <w:bCs/>
                <w:sz w:val="22"/>
                <w:szCs w:val="20"/>
                <w:lang w:val="fr-BE" w:eastAsia="en-US"/>
              </w:rPr>
              <w:t>de 10</w:t>
            </w:r>
            <w:r w:rsidR="008E6C0E">
              <w:rPr>
                <w:rFonts w:eastAsiaTheme="minorHAnsi"/>
                <w:bCs/>
                <w:sz w:val="22"/>
                <w:szCs w:val="20"/>
                <w:lang w:val="fr-BE" w:eastAsia="en-US"/>
              </w:rPr>
              <w:t xml:space="preserve"> </w:t>
            </w:r>
            <w:r w:rsidRPr="00D333A9">
              <w:rPr>
                <w:rFonts w:eastAsiaTheme="minorHAnsi"/>
                <w:bCs/>
                <w:sz w:val="22"/>
                <w:szCs w:val="20"/>
                <w:lang w:val="fr-BE" w:eastAsia="en-US"/>
              </w:rPr>
              <w:t>cl</w:t>
            </w:r>
          </w:p>
        </w:tc>
        <w:tc>
          <w:tcPr>
            <w:tcW w:w="1439" w:type="dxa"/>
            <w:tcBorders>
              <w:top w:val="single" w:sz="4" w:space="0" w:color="auto"/>
            </w:tcBorders>
          </w:tcPr>
          <w:p w:rsidR="008E6C0E" w:rsidRDefault="00B06A30" w:rsidP="00B06A30">
            <w:pPr>
              <w:jc w:val="center"/>
              <w:rPr>
                <w:rFonts w:eastAsiaTheme="minorHAnsi"/>
                <w:bCs/>
                <w:sz w:val="22"/>
                <w:szCs w:val="20"/>
                <w:lang w:val="fr-BE" w:eastAsia="en-US"/>
              </w:rPr>
            </w:pPr>
            <w:r w:rsidRPr="00D333A9">
              <w:rPr>
                <w:rFonts w:eastAsiaTheme="minorHAnsi"/>
                <w:bCs/>
                <w:sz w:val="22"/>
                <w:szCs w:val="20"/>
                <w:lang w:val="fr-BE" w:eastAsia="en-US"/>
              </w:rPr>
              <w:t xml:space="preserve">Verre d’apéritif </w:t>
            </w:r>
          </w:p>
          <w:p w:rsidR="008E6C0E" w:rsidRDefault="00356C8E" w:rsidP="00B06A30">
            <w:pPr>
              <w:jc w:val="center"/>
              <w:rPr>
                <w:rFonts w:eastAsiaTheme="minorHAnsi"/>
                <w:bCs/>
                <w:sz w:val="22"/>
                <w:szCs w:val="20"/>
                <w:lang w:val="fr-BE" w:eastAsia="en-US"/>
              </w:rPr>
            </w:pPr>
            <w:r w:rsidRPr="00D333A9">
              <w:rPr>
                <w:rFonts w:eastAsiaTheme="minorHAnsi"/>
                <w:bCs/>
                <w:sz w:val="22"/>
                <w:szCs w:val="20"/>
                <w:lang w:val="fr-BE" w:eastAsia="en-US"/>
              </w:rPr>
              <w:t>(25</w:t>
            </w:r>
            <w:r w:rsidR="008E6C0E">
              <w:rPr>
                <w:rFonts w:eastAsiaTheme="minorHAnsi"/>
                <w:bCs/>
                <w:sz w:val="22"/>
                <w:szCs w:val="20"/>
                <w:lang w:val="fr-BE" w:eastAsia="en-US"/>
              </w:rPr>
              <w:t xml:space="preserve"> </w:t>
            </w:r>
            <w:r w:rsidRPr="00D333A9">
              <w:rPr>
                <w:rFonts w:eastAsiaTheme="minorHAnsi"/>
                <w:bCs/>
                <w:sz w:val="22"/>
                <w:szCs w:val="20"/>
                <w:lang w:val="fr-BE" w:eastAsia="en-US"/>
              </w:rPr>
              <w:t xml:space="preserve">%) </w:t>
            </w:r>
          </w:p>
          <w:p w:rsidR="00B06A30" w:rsidRPr="00D333A9" w:rsidRDefault="00B06A30" w:rsidP="00B06A30">
            <w:pPr>
              <w:jc w:val="center"/>
              <w:rPr>
                <w:rFonts w:eastAsiaTheme="minorHAnsi"/>
                <w:bCs/>
                <w:sz w:val="22"/>
                <w:szCs w:val="20"/>
                <w:lang w:val="fr-BE" w:eastAsia="en-US"/>
              </w:rPr>
            </w:pPr>
            <w:r w:rsidRPr="00D333A9">
              <w:rPr>
                <w:rFonts w:eastAsiaTheme="minorHAnsi"/>
                <w:bCs/>
                <w:sz w:val="22"/>
                <w:szCs w:val="20"/>
                <w:lang w:val="fr-BE" w:eastAsia="en-US"/>
              </w:rPr>
              <w:t>de 5</w:t>
            </w:r>
            <w:r w:rsidR="008E6C0E">
              <w:rPr>
                <w:rFonts w:eastAsiaTheme="minorHAnsi"/>
                <w:bCs/>
                <w:sz w:val="22"/>
                <w:szCs w:val="20"/>
                <w:lang w:val="fr-BE" w:eastAsia="en-US"/>
              </w:rPr>
              <w:t xml:space="preserve"> </w:t>
            </w:r>
            <w:r w:rsidRPr="00D333A9">
              <w:rPr>
                <w:rFonts w:eastAsiaTheme="minorHAnsi"/>
                <w:bCs/>
                <w:sz w:val="22"/>
                <w:szCs w:val="20"/>
                <w:lang w:val="fr-BE" w:eastAsia="en-US"/>
              </w:rPr>
              <w:t>cl</w:t>
            </w:r>
          </w:p>
        </w:tc>
        <w:tc>
          <w:tcPr>
            <w:tcW w:w="1244" w:type="dxa"/>
            <w:tcBorders>
              <w:top w:val="single" w:sz="4" w:space="0" w:color="auto"/>
            </w:tcBorders>
          </w:tcPr>
          <w:p w:rsidR="00B06A30" w:rsidRPr="00D333A9" w:rsidRDefault="00B06A30" w:rsidP="00E73703">
            <w:pPr>
              <w:jc w:val="center"/>
              <w:rPr>
                <w:rFonts w:eastAsiaTheme="minorHAnsi"/>
                <w:bCs/>
                <w:sz w:val="22"/>
                <w:szCs w:val="20"/>
                <w:lang w:val="fr-BE" w:eastAsia="en-US"/>
              </w:rPr>
            </w:pPr>
            <w:r w:rsidRPr="00D333A9">
              <w:rPr>
                <w:rFonts w:eastAsiaTheme="minorHAnsi"/>
                <w:bCs/>
                <w:sz w:val="22"/>
                <w:szCs w:val="20"/>
                <w:lang w:val="fr-BE" w:eastAsia="en-US"/>
              </w:rPr>
              <w:t xml:space="preserve">Verre d’alcool fort </w:t>
            </w:r>
            <w:r w:rsidR="00E73703" w:rsidRPr="00D333A9">
              <w:rPr>
                <w:rFonts w:eastAsiaTheme="minorHAnsi"/>
                <w:bCs/>
                <w:sz w:val="22"/>
                <w:szCs w:val="20"/>
                <w:lang w:val="fr-BE" w:eastAsia="en-US"/>
              </w:rPr>
              <w:t>(35</w:t>
            </w:r>
            <w:r w:rsidR="008E6C0E">
              <w:rPr>
                <w:rFonts w:eastAsiaTheme="minorHAnsi"/>
                <w:bCs/>
                <w:sz w:val="22"/>
                <w:szCs w:val="20"/>
                <w:lang w:val="fr-BE" w:eastAsia="en-US"/>
              </w:rPr>
              <w:t xml:space="preserve"> </w:t>
            </w:r>
            <w:r w:rsidR="00E73703" w:rsidRPr="00D333A9">
              <w:rPr>
                <w:rFonts w:eastAsiaTheme="minorHAnsi"/>
                <w:bCs/>
                <w:sz w:val="22"/>
                <w:szCs w:val="20"/>
                <w:lang w:val="fr-BE" w:eastAsia="en-US"/>
              </w:rPr>
              <w:t xml:space="preserve">%) </w:t>
            </w:r>
            <w:r w:rsidR="008E6C0E">
              <w:rPr>
                <w:rFonts w:eastAsiaTheme="minorHAnsi"/>
                <w:bCs/>
                <w:sz w:val="22"/>
                <w:szCs w:val="20"/>
                <w:lang w:val="fr-BE" w:eastAsia="en-US"/>
              </w:rPr>
              <w:t>de 3,</w:t>
            </w:r>
            <w:r w:rsidRPr="00D333A9">
              <w:rPr>
                <w:rFonts w:eastAsiaTheme="minorHAnsi"/>
                <w:bCs/>
                <w:sz w:val="22"/>
                <w:szCs w:val="20"/>
                <w:lang w:val="fr-BE" w:eastAsia="en-US"/>
              </w:rPr>
              <w:t>5</w:t>
            </w:r>
            <w:r w:rsidR="008E6C0E">
              <w:rPr>
                <w:rFonts w:eastAsiaTheme="minorHAnsi"/>
                <w:bCs/>
                <w:sz w:val="22"/>
                <w:szCs w:val="20"/>
                <w:lang w:val="fr-BE" w:eastAsia="en-US"/>
              </w:rPr>
              <w:t xml:space="preserve"> </w:t>
            </w:r>
            <w:r w:rsidRPr="00D333A9">
              <w:rPr>
                <w:rFonts w:eastAsiaTheme="minorHAnsi"/>
                <w:bCs/>
                <w:sz w:val="22"/>
                <w:szCs w:val="20"/>
                <w:lang w:val="fr-BE" w:eastAsia="en-US"/>
              </w:rPr>
              <w:t>cl</w:t>
            </w:r>
          </w:p>
        </w:tc>
        <w:tc>
          <w:tcPr>
            <w:tcW w:w="1165" w:type="dxa"/>
            <w:tcBorders>
              <w:top w:val="single" w:sz="4" w:space="0" w:color="auto"/>
            </w:tcBorders>
          </w:tcPr>
          <w:p w:rsidR="008E6C0E" w:rsidRDefault="00140E7B" w:rsidP="00B06A30">
            <w:pPr>
              <w:jc w:val="center"/>
              <w:rPr>
                <w:rFonts w:eastAsiaTheme="minorHAnsi"/>
                <w:bCs/>
                <w:sz w:val="22"/>
                <w:szCs w:val="20"/>
                <w:lang w:val="fr-BE" w:eastAsia="en-US"/>
              </w:rPr>
            </w:pPr>
            <w:r w:rsidRPr="00D333A9">
              <w:rPr>
                <w:rFonts w:eastAsiaTheme="minorHAnsi"/>
                <w:bCs/>
                <w:sz w:val="22"/>
                <w:szCs w:val="20"/>
                <w:lang w:val="fr-BE" w:eastAsia="en-US"/>
              </w:rPr>
              <w:t xml:space="preserve">Verre de bière </w:t>
            </w:r>
          </w:p>
          <w:p w:rsidR="008E6C0E" w:rsidRDefault="00356C8E" w:rsidP="00B06A30">
            <w:pPr>
              <w:jc w:val="center"/>
              <w:rPr>
                <w:rFonts w:eastAsiaTheme="minorHAnsi"/>
                <w:bCs/>
                <w:sz w:val="22"/>
                <w:szCs w:val="20"/>
                <w:lang w:val="fr-BE" w:eastAsia="en-US"/>
              </w:rPr>
            </w:pPr>
            <w:r w:rsidRPr="00D333A9">
              <w:rPr>
                <w:rFonts w:eastAsiaTheme="minorHAnsi"/>
                <w:bCs/>
                <w:sz w:val="22"/>
                <w:szCs w:val="20"/>
                <w:lang w:val="fr-BE" w:eastAsia="en-US"/>
              </w:rPr>
              <w:t>(5</w:t>
            </w:r>
            <w:r w:rsidR="008E6C0E">
              <w:rPr>
                <w:rFonts w:eastAsiaTheme="minorHAnsi"/>
                <w:bCs/>
                <w:sz w:val="22"/>
                <w:szCs w:val="20"/>
                <w:lang w:val="fr-BE" w:eastAsia="en-US"/>
              </w:rPr>
              <w:t xml:space="preserve"> </w:t>
            </w:r>
            <w:r w:rsidRPr="00D333A9">
              <w:rPr>
                <w:rFonts w:eastAsiaTheme="minorHAnsi"/>
                <w:bCs/>
                <w:sz w:val="22"/>
                <w:szCs w:val="20"/>
                <w:lang w:val="fr-BE" w:eastAsia="en-US"/>
              </w:rPr>
              <w:t xml:space="preserve">%) </w:t>
            </w:r>
          </w:p>
          <w:p w:rsidR="00B06A30" w:rsidRPr="00D333A9" w:rsidRDefault="00B06A30" w:rsidP="00B06A30">
            <w:pPr>
              <w:jc w:val="center"/>
              <w:rPr>
                <w:rFonts w:eastAsiaTheme="minorHAnsi"/>
                <w:bCs/>
                <w:sz w:val="22"/>
                <w:szCs w:val="20"/>
                <w:lang w:val="fr-BE" w:eastAsia="en-US"/>
              </w:rPr>
            </w:pPr>
            <w:r w:rsidRPr="00D333A9">
              <w:rPr>
                <w:rFonts w:eastAsiaTheme="minorHAnsi"/>
                <w:bCs/>
                <w:sz w:val="22"/>
                <w:szCs w:val="20"/>
                <w:lang w:val="fr-BE" w:eastAsia="en-US"/>
              </w:rPr>
              <w:t>de 33</w:t>
            </w:r>
            <w:r w:rsidR="008E6C0E">
              <w:rPr>
                <w:rFonts w:eastAsiaTheme="minorHAnsi"/>
                <w:bCs/>
                <w:sz w:val="22"/>
                <w:szCs w:val="20"/>
                <w:lang w:val="fr-BE" w:eastAsia="en-US"/>
              </w:rPr>
              <w:t xml:space="preserve"> </w:t>
            </w:r>
            <w:r w:rsidRPr="00D333A9">
              <w:rPr>
                <w:rFonts w:eastAsiaTheme="minorHAnsi"/>
                <w:bCs/>
                <w:sz w:val="22"/>
                <w:szCs w:val="20"/>
                <w:lang w:val="fr-BE" w:eastAsia="en-US"/>
              </w:rPr>
              <w:t>cl</w:t>
            </w:r>
          </w:p>
        </w:tc>
        <w:tc>
          <w:tcPr>
            <w:tcW w:w="1276" w:type="dxa"/>
            <w:tcBorders>
              <w:top w:val="single" w:sz="4" w:space="0" w:color="auto"/>
            </w:tcBorders>
          </w:tcPr>
          <w:p w:rsidR="00B06A30" w:rsidRPr="00D333A9" w:rsidRDefault="00B06A30" w:rsidP="00356C8E">
            <w:pPr>
              <w:jc w:val="center"/>
              <w:rPr>
                <w:rFonts w:eastAsiaTheme="minorHAnsi"/>
                <w:bCs/>
                <w:sz w:val="22"/>
                <w:szCs w:val="20"/>
                <w:lang w:val="fr-BE" w:eastAsia="en-US"/>
              </w:rPr>
            </w:pPr>
            <w:r w:rsidRPr="00D333A9">
              <w:rPr>
                <w:rFonts w:eastAsiaTheme="minorHAnsi"/>
                <w:bCs/>
                <w:sz w:val="22"/>
                <w:szCs w:val="20"/>
                <w:lang w:val="fr-BE" w:eastAsia="en-US"/>
              </w:rPr>
              <w:t>Verre de bière forte</w:t>
            </w:r>
            <w:r w:rsidR="00356C8E" w:rsidRPr="00D333A9">
              <w:rPr>
                <w:rFonts w:eastAsiaTheme="minorHAnsi"/>
                <w:bCs/>
                <w:sz w:val="22"/>
                <w:szCs w:val="20"/>
                <w:lang w:val="fr-BE" w:eastAsia="en-US"/>
              </w:rPr>
              <w:t xml:space="preserve"> (8 à 12</w:t>
            </w:r>
            <w:r w:rsidR="008E6C0E">
              <w:rPr>
                <w:rFonts w:eastAsiaTheme="minorHAnsi"/>
                <w:bCs/>
                <w:sz w:val="22"/>
                <w:szCs w:val="20"/>
                <w:lang w:val="fr-BE" w:eastAsia="en-US"/>
              </w:rPr>
              <w:t xml:space="preserve"> </w:t>
            </w:r>
            <w:r w:rsidR="00356C8E" w:rsidRPr="00D333A9">
              <w:rPr>
                <w:rFonts w:eastAsiaTheme="minorHAnsi"/>
                <w:bCs/>
                <w:sz w:val="22"/>
                <w:szCs w:val="20"/>
                <w:lang w:val="fr-BE" w:eastAsia="en-US"/>
              </w:rPr>
              <w:t>%) de 25</w:t>
            </w:r>
            <w:r w:rsidR="008E6C0E">
              <w:rPr>
                <w:rFonts w:eastAsiaTheme="minorHAnsi"/>
                <w:bCs/>
                <w:sz w:val="22"/>
                <w:szCs w:val="20"/>
                <w:lang w:val="fr-BE" w:eastAsia="en-US"/>
              </w:rPr>
              <w:t xml:space="preserve"> </w:t>
            </w:r>
            <w:r w:rsidR="00356C8E" w:rsidRPr="00D333A9">
              <w:rPr>
                <w:rFonts w:eastAsiaTheme="minorHAnsi"/>
                <w:bCs/>
                <w:sz w:val="22"/>
                <w:szCs w:val="20"/>
                <w:lang w:val="fr-BE" w:eastAsia="en-US"/>
              </w:rPr>
              <w:t>cl</w:t>
            </w:r>
          </w:p>
        </w:tc>
      </w:tr>
      <w:tr w:rsidR="00B06A30" w:rsidRPr="00D333A9" w:rsidTr="00280959">
        <w:tc>
          <w:tcPr>
            <w:tcW w:w="1745" w:type="dxa"/>
            <w:tcBorders>
              <w:top w:val="single" w:sz="4" w:space="0" w:color="auto"/>
            </w:tcBorders>
          </w:tcPr>
          <w:p w:rsidR="00B06A30" w:rsidRPr="00D333A9" w:rsidRDefault="00B06A30" w:rsidP="00140E7B">
            <w:pPr>
              <w:jc w:val="center"/>
              <w:rPr>
                <w:sz w:val="22"/>
                <w:szCs w:val="20"/>
                <w:lang w:val="fr-BE"/>
              </w:rPr>
            </w:pPr>
            <w:r w:rsidRPr="00D333A9">
              <w:rPr>
                <w:sz w:val="22"/>
                <w:szCs w:val="20"/>
                <w:lang w:val="fr-BE"/>
              </w:rPr>
              <w:t>Unité standard correspondante</w:t>
            </w:r>
          </w:p>
        </w:tc>
        <w:tc>
          <w:tcPr>
            <w:tcW w:w="1295" w:type="dxa"/>
            <w:tcBorders>
              <w:top w:val="single" w:sz="4" w:space="0" w:color="auto"/>
            </w:tcBorders>
          </w:tcPr>
          <w:p w:rsidR="00B06A30" w:rsidRPr="00D333A9" w:rsidRDefault="00B06A30" w:rsidP="00B06A30">
            <w:pPr>
              <w:jc w:val="center"/>
              <w:rPr>
                <w:sz w:val="22"/>
                <w:szCs w:val="20"/>
                <w:lang w:val="fr-BE"/>
              </w:rPr>
            </w:pPr>
          </w:p>
          <w:p w:rsidR="00B06A30" w:rsidRPr="00D333A9" w:rsidRDefault="00B06A30" w:rsidP="00B06A30">
            <w:pPr>
              <w:jc w:val="center"/>
              <w:rPr>
                <w:sz w:val="22"/>
                <w:szCs w:val="20"/>
                <w:lang w:val="fr-BE"/>
              </w:rPr>
            </w:pPr>
            <w:r w:rsidRPr="00D333A9">
              <w:rPr>
                <w:sz w:val="22"/>
                <w:szCs w:val="20"/>
                <w:lang w:val="fr-BE"/>
              </w:rPr>
              <w:t>1</w:t>
            </w:r>
          </w:p>
        </w:tc>
        <w:tc>
          <w:tcPr>
            <w:tcW w:w="1197" w:type="dxa"/>
            <w:tcBorders>
              <w:top w:val="single" w:sz="4" w:space="0" w:color="auto"/>
            </w:tcBorders>
          </w:tcPr>
          <w:p w:rsidR="00B06A30" w:rsidRPr="00D333A9" w:rsidRDefault="00B06A30" w:rsidP="00B06A30">
            <w:pPr>
              <w:jc w:val="center"/>
              <w:rPr>
                <w:rFonts w:eastAsiaTheme="minorHAnsi"/>
                <w:bCs/>
                <w:sz w:val="22"/>
                <w:szCs w:val="20"/>
                <w:lang w:val="fr-BE" w:eastAsia="en-US"/>
              </w:rPr>
            </w:pPr>
          </w:p>
          <w:p w:rsidR="00B06A30" w:rsidRPr="00D333A9" w:rsidRDefault="00B06A30" w:rsidP="00B06A30">
            <w:pPr>
              <w:jc w:val="center"/>
              <w:rPr>
                <w:rFonts w:eastAsiaTheme="minorHAnsi"/>
                <w:bCs/>
                <w:sz w:val="22"/>
                <w:szCs w:val="20"/>
                <w:lang w:val="fr-BE" w:eastAsia="en-US"/>
              </w:rPr>
            </w:pPr>
            <w:r w:rsidRPr="00D333A9">
              <w:rPr>
                <w:rFonts w:eastAsiaTheme="minorHAnsi"/>
                <w:bCs/>
                <w:sz w:val="22"/>
                <w:szCs w:val="20"/>
                <w:lang w:val="fr-BE" w:eastAsia="en-US"/>
              </w:rPr>
              <w:t>1</w:t>
            </w:r>
          </w:p>
        </w:tc>
        <w:tc>
          <w:tcPr>
            <w:tcW w:w="1439" w:type="dxa"/>
            <w:tcBorders>
              <w:top w:val="single" w:sz="4" w:space="0" w:color="auto"/>
            </w:tcBorders>
          </w:tcPr>
          <w:p w:rsidR="00B06A30" w:rsidRPr="00D333A9" w:rsidRDefault="00B06A30" w:rsidP="00B06A30">
            <w:pPr>
              <w:jc w:val="center"/>
              <w:rPr>
                <w:rFonts w:eastAsiaTheme="minorHAnsi"/>
                <w:bCs/>
                <w:sz w:val="22"/>
                <w:szCs w:val="20"/>
                <w:lang w:val="fr-BE" w:eastAsia="en-US"/>
              </w:rPr>
            </w:pPr>
          </w:p>
          <w:p w:rsidR="00B06A30" w:rsidRPr="00D333A9" w:rsidRDefault="00B06A30" w:rsidP="00B06A30">
            <w:pPr>
              <w:jc w:val="center"/>
              <w:rPr>
                <w:rFonts w:eastAsiaTheme="minorHAnsi"/>
                <w:bCs/>
                <w:sz w:val="22"/>
                <w:szCs w:val="20"/>
                <w:lang w:val="fr-BE" w:eastAsia="en-US"/>
              </w:rPr>
            </w:pPr>
            <w:r w:rsidRPr="00D333A9">
              <w:rPr>
                <w:rFonts w:eastAsiaTheme="minorHAnsi"/>
                <w:bCs/>
                <w:sz w:val="22"/>
                <w:szCs w:val="20"/>
                <w:lang w:val="fr-BE" w:eastAsia="en-US"/>
              </w:rPr>
              <w:t>1</w:t>
            </w:r>
          </w:p>
        </w:tc>
        <w:tc>
          <w:tcPr>
            <w:tcW w:w="1244" w:type="dxa"/>
            <w:tcBorders>
              <w:top w:val="single" w:sz="4" w:space="0" w:color="auto"/>
            </w:tcBorders>
          </w:tcPr>
          <w:p w:rsidR="00B06A30" w:rsidRPr="00D333A9" w:rsidRDefault="00B06A30" w:rsidP="00B06A30">
            <w:pPr>
              <w:jc w:val="center"/>
              <w:rPr>
                <w:rFonts w:eastAsiaTheme="minorHAnsi"/>
                <w:bCs/>
                <w:sz w:val="22"/>
                <w:szCs w:val="20"/>
                <w:lang w:val="fr-BE" w:eastAsia="en-US"/>
              </w:rPr>
            </w:pPr>
          </w:p>
          <w:p w:rsidR="00B06A30" w:rsidRPr="00D333A9" w:rsidRDefault="00B06A30" w:rsidP="00B06A30">
            <w:pPr>
              <w:jc w:val="center"/>
              <w:rPr>
                <w:rFonts w:eastAsiaTheme="minorHAnsi"/>
                <w:bCs/>
                <w:sz w:val="22"/>
                <w:szCs w:val="20"/>
                <w:lang w:val="fr-BE" w:eastAsia="en-US"/>
              </w:rPr>
            </w:pPr>
            <w:r w:rsidRPr="00D333A9">
              <w:rPr>
                <w:rFonts w:eastAsiaTheme="minorHAnsi"/>
                <w:bCs/>
                <w:sz w:val="22"/>
                <w:szCs w:val="20"/>
                <w:lang w:val="fr-BE" w:eastAsia="en-US"/>
              </w:rPr>
              <w:t>1</w:t>
            </w:r>
          </w:p>
        </w:tc>
        <w:tc>
          <w:tcPr>
            <w:tcW w:w="1165" w:type="dxa"/>
            <w:tcBorders>
              <w:top w:val="single" w:sz="4" w:space="0" w:color="auto"/>
            </w:tcBorders>
          </w:tcPr>
          <w:p w:rsidR="00B06A30" w:rsidRPr="00D333A9" w:rsidRDefault="00B06A30" w:rsidP="00B06A30">
            <w:pPr>
              <w:jc w:val="center"/>
              <w:rPr>
                <w:rFonts w:eastAsiaTheme="minorHAnsi"/>
                <w:bCs/>
                <w:sz w:val="22"/>
                <w:szCs w:val="20"/>
                <w:lang w:val="fr-BE" w:eastAsia="en-US"/>
              </w:rPr>
            </w:pPr>
          </w:p>
          <w:p w:rsidR="00B06A30" w:rsidRPr="00D333A9" w:rsidRDefault="00B06A30" w:rsidP="00B06A30">
            <w:pPr>
              <w:jc w:val="center"/>
              <w:rPr>
                <w:rFonts w:eastAsiaTheme="minorHAnsi"/>
                <w:bCs/>
                <w:sz w:val="22"/>
                <w:szCs w:val="20"/>
                <w:lang w:val="fr-BE" w:eastAsia="en-US"/>
              </w:rPr>
            </w:pPr>
            <w:r w:rsidRPr="00D333A9">
              <w:rPr>
                <w:rFonts w:eastAsiaTheme="minorHAnsi"/>
                <w:bCs/>
                <w:sz w:val="22"/>
                <w:szCs w:val="20"/>
                <w:lang w:val="fr-BE" w:eastAsia="en-US"/>
              </w:rPr>
              <w:t>1,3</w:t>
            </w:r>
          </w:p>
        </w:tc>
        <w:tc>
          <w:tcPr>
            <w:tcW w:w="1276" w:type="dxa"/>
            <w:tcBorders>
              <w:top w:val="single" w:sz="4" w:space="0" w:color="auto"/>
            </w:tcBorders>
          </w:tcPr>
          <w:p w:rsidR="00B06A30" w:rsidRPr="00D333A9" w:rsidRDefault="00B06A30" w:rsidP="00B06A30">
            <w:pPr>
              <w:jc w:val="center"/>
              <w:rPr>
                <w:rFonts w:eastAsiaTheme="minorHAnsi"/>
                <w:bCs/>
                <w:sz w:val="22"/>
                <w:szCs w:val="20"/>
                <w:lang w:val="fr-BE" w:eastAsia="en-US"/>
              </w:rPr>
            </w:pPr>
          </w:p>
          <w:p w:rsidR="00B06A30" w:rsidRPr="00D333A9" w:rsidRDefault="00B06A30" w:rsidP="00B06A30">
            <w:pPr>
              <w:jc w:val="center"/>
              <w:rPr>
                <w:rFonts w:eastAsiaTheme="minorHAnsi"/>
                <w:bCs/>
                <w:sz w:val="22"/>
                <w:szCs w:val="20"/>
                <w:lang w:val="fr-BE" w:eastAsia="en-US"/>
              </w:rPr>
            </w:pPr>
            <w:r w:rsidRPr="00D333A9">
              <w:rPr>
                <w:rFonts w:eastAsiaTheme="minorHAnsi"/>
                <w:bCs/>
                <w:sz w:val="22"/>
                <w:szCs w:val="20"/>
                <w:lang w:val="fr-BE" w:eastAsia="en-US"/>
              </w:rPr>
              <w:t>1,</w:t>
            </w:r>
            <w:r w:rsidR="00356C8E" w:rsidRPr="00D333A9">
              <w:rPr>
                <w:rFonts w:eastAsiaTheme="minorHAnsi"/>
                <w:bCs/>
                <w:sz w:val="22"/>
                <w:szCs w:val="20"/>
                <w:lang w:val="fr-BE" w:eastAsia="en-US"/>
              </w:rPr>
              <w:t>6</w:t>
            </w:r>
            <w:r w:rsidRPr="00D333A9">
              <w:rPr>
                <w:rFonts w:eastAsiaTheme="minorHAnsi"/>
                <w:bCs/>
                <w:sz w:val="22"/>
                <w:szCs w:val="20"/>
                <w:lang w:val="fr-BE" w:eastAsia="en-US"/>
              </w:rPr>
              <w:t xml:space="preserve"> à 2,</w:t>
            </w:r>
            <w:r w:rsidR="00356C8E" w:rsidRPr="00D333A9">
              <w:rPr>
                <w:rFonts w:eastAsiaTheme="minorHAnsi"/>
                <w:bCs/>
                <w:sz w:val="22"/>
                <w:szCs w:val="20"/>
                <w:lang w:val="fr-BE" w:eastAsia="en-US"/>
              </w:rPr>
              <w:t>4</w:t>
            </w:r>
          </w:p>
        </w:tc>
      </w:tr>
    </w:tbl>
    <w:p w:rsidR="00B06A30" w:rsidRPr="00D333A9" w:rsidRDefault="00B06A30" w:rsidP="00B06A30">
      <w:pPr>
        <w:rPr>
          <w:lang w:val="fr-BE"/>
        </w:rPr>
      </w:pPr>
    </w:p>
    <w:p w:rsidR="00F40D3F" w:rsidRPr="00D333A9" w:rsidRDefault="00F40D3F" w:rsidP="00F40D3F">
      <w:pPr>
        <w:pStyle w:val="Titre2"/>
        <w:rPr>
          <w:lang w:val="fr-BE"/>
        </w:rPr>
      </w:pPr>
      <w:r w:rsidRPr="00D333A9">
        <w:rPr>
          <w:lang w:val="fr-BE"/>
        </w:rPr>
        <w:t xml:space="preserve">Recommandations </w:t>
      </w:r>
      <w:r w:rsidR="00185FE4" w:rsidRPr="00D333A9">
        <w:rPr>
          <w:lang w:val="fr-BE"/>
        </w:rPr>
        <w:t>principales</w:t>
      </w:r>
    </w:p>
    <w:p w:rsidR="005558CD" w:rsidRDefault="00284EB1" w:rsidP="00284EB1">
      <w:pPr>
        <w:rPr>
          <w:lang w:val="fr-BE"/>
        </w:rPr>
      </w:pPr>
      <w:r w:rsidRPr="00D333A9">
        <w:rPr>
          <w:lang w:val="fr-BE"/>
        </w:rPr>
        <w:t xml:space="preserve">Pour </w:t>
      </w:r>
      <w:r w:rsidR="00252B7A" w:rsidRPr="00D333A9">
        <w:rPr>
          <w:lang w:val="fr-BE"/>
        </w:rPr>
        <w:t xml:space="preserve">limiter les risques </w:t>
      </w:r>
      <w:r w:rsidR="00F34867" w:rsidRPr="00D333A9">
        <w:rPr>
          <w:lang w:val="fr-BE"/>
        </w:rPr>
        <w:t xml:space="preserve">pour la santé </w:t>
      </w:r>
      <w:r w:rsidR="0075501B" w:rsidRPr="00D333A9">
        <w:rPr>
          <w:lang w:val="fr-BE"/>
        </w:rPr>
        <w:t xml:space="preserve">liés à </w:t>
      </w:r>
      <w:r w:rsidR="00F34867" w:rsidRPr="00D333A9">
        <w:rPr>
          <w:lang w:val="fr-BE"/>
        </w:rPr>
        <w:t>la consommation d’alcool</w:t>
      </w:r>
      <w:r w:rsidRPr="00D333A9">
        <w:rPr>
          <w:lang w:val="fr-BE"/>
        </w:rPr>
        <w:t xml:space="preserve">, </w:t>
      </w:r>
    </w:p>
    <w:p w:rsidR="00415370" w:rsidRPr="00D333A9" w:rsidRDefault="00284EB1" w:rsidP="00284EB1">
      <w:pPr>
        <w:rPr>
          <w:lang w:val="fr-BE"/>
        </w:rPr>
      </w:pPr>
      <w:r w:rsidRPr="00D333A9">
        <w:rPr>
          <w:lang w:val="fr-BE"/>
        </w:rPr>
        <w:t xml:space="preserve">le CSS </w:t>
      </w:r>
      <w:r w:rsidR="00FA7A97" w:rsidRPr="00D333A9">
        <w:rPr>
          <w:lang w:val="fr-BE"/>
        </w:rPr>
        <w:t xml:space="preserve">recommande de </w:t>
      </w:r>
      <w:r w:rsidR="00252B7A" w:rsidRPr="00D333A9">
        <w:rPr>
          <w:lang w:val="fr-BE"/>
        </w:rPr>
        <w:t>:</w:t>
      </w:r>
    </w:p>
    <w:p w:rsidR="00CF7CEA" w:rsidRPr="00D333A9" w:rsidRDefault="00CF7CEA" w:rsidP="00284EB1">
      <w:pPr>
        <w:rPr>
          <w:lang w:val="fr-BE"/>
        </w:rPr>
      </w:pPr>
    </w:p>
    <w:p w:rsidR="00903A79" w:rsidRPr="00D333A9" w:rsidRDefault="005558CD" w:rsidP="00B06A30">
      <w:pPr>
        <w:pStyle w:val="Paragraphedeliste"/>
        <w:numPr>
          <w:ilvl w:val="0"/>
          <w:numId w:val="29"/>
        </w:numPr>
        <w:rPr>
          <w:lang w:val="fr-BE"/>
        </w:rPr>
      </w:pPr>
      <w:r>
        <w:rPr>
          <w:lang w:val="fr-BE"/>
        </w:rPr>
        <w:t>l</w:t>
      </w:r>
      <w:r w:rsidR="00B06A30" w:rsidRPr="00D333A9">
        <w:rPr>
          <w:lang w:val="fr-BE"/>
        </w:rPr>
        <w:t>imiter sa consommation</w:t>
      </w:r>
      <w:r w:rsidR="003C48FF" w:rsidRPr="00D333A9">
        <w:rPr>
          <w:lang w:val="fr-BE"/>
        </w:rPr>
        <w:t xml:space="preserve"> d’alcool</w:t>
      </w:r>
      <w:r w:rsidR="00B06A30" w:rsidRPr="00D333A9">
        <w:rPr>
          <w:lang w:val="fr-BE"/>
        </w:rPr>
        <w:t xml:space="preserve">, </w:t>
      </w:r>
      <w:r w:rsidR="00C13037" w:rsidRPr="00D333A9">
        <w:rPr>
          <w:lang w:val="fr-BE"/>
        </w:rPr>
        <w:t>car toute consommation d’alcool a un impact sur la santé ;</w:t>
      </w:r>
    </w:p>
    <w:p w:rsidR="00903A79" w:rsidRPr="00D333A9" w:rsidRDefault="005558CD" w:rsidP="00284EB1">
      <w:pPr>
        <w:pStyle w:val="Paragraphedeliste"/>
        <w:numPr>
          <w:ilvl w:val="0"/>
          <w:numId w:val="29"/>
        </w:numPr>
        <w:rPr>
          <w:lang w:val="fr-BE"/>
        </w:rPr>
      </w:pPr>
      <w:r>
        <w:rPr>
          <w:lang w:val="fr-BE"/>
        </w:rPr>
        <w:t>n</w:t>
      </w:r>
      <w:r w:rsidR="00B06A30" w:rsidRPr="00D333A9">
        <w:rPr>
          <w:lang w:val="fr-BE"/>
        </w:rPr>
        <w:t xml:space="preserve">e pas consommer </w:t>
      </w:r>
      <w:r w:rsidR="00903A79" w:rsidRPr="00D333A9">
        <w:rPr>
          <w:lang w:val="fr-BE"/>
        </w:rPr>
        <w:t>d’alcool avant 18 ans</w:t>
      </w:r>
      <w:r w:rsidR="00323BAF" w:rsidRPr="00D333A9">
        <w:rPr>
          <w:lang w:val="fr-BE"/>
        </w:rPr>
        <w:t> ;</w:t>
      </w:r>
    </w:p>
    <w:p w:rsidR="00106C18" w:rsidRPr="00D333A9" w:rsidRDefault="005558CD" w:rsidP="00B222A6">
      <w:pPr>
        <w:pStyle w:val="Paragraphedeliste"/>
        <w:numPr>
          <w:ilvl w:val="0"/>
          <w:numId w:val="29"/>
        </w:numPr>
        <w:rPr>
          <w:lang w:val="fr-BE"/>
        </w:rPr>
      </w:pPr>
      <w:r>
        <w:rPr>
          <w:lang w:val="fr-BE"/>
        </w:rPr>
        <w:t>n</w:t>
      </w:r>
      <w:r w:rsidR="00B06A30" w:rsidRPr="00D333A9">
        <w:rPr>
          <w:lang w:val="fr-BE"/>
        </w:rPr>
        <w:t>e</w:t>
      </w:r>
      <w:r w:rsidR="00106C18" w:rsidRPr="00D333A9">
        <w:rPr>
          <w:lang w:val="fr-BE"/>
        </w:rPr>
        <w:t xml:space="preserve"> pas boire plus de </w:t>
      </w:r>
      <w:r w:rsidR="003C48FF" w:rsidRPr="00D333A9">
        <w:rPr>
          <w:lang w:val="fr-BE"/>
        </w:rPr>
        <w:t>10 u</w:t>
      </w:r>
      <w:r w:rsidR="00106C18" w:rsidRPr="00D333A9">
        <w:rPr>
          <w:lang w:val="fr-BE"/>
        </w:rPr>
        <w:t>nités</w:t>
      </w:r>
      <w:r w:rsidR="003C48FF" w:rsidRPr="00D333A9">
        <w:rPr>
          <w:lang w:val="fr-BE"/>
        </w:rPr>
        <w:t xml:space="preserve"> standards</w:t>
      </w:r>
      <w:r w:rsidR="0087691C" w:rsidRPr="00D333A9">
        <w:rPr>
          <w:lang w:val="fr-BE"/>
        </w:rPr>
        <w:t xml:space="preserve"> </w:t>
      </w:r>
      <w:r w:rsidR="00903A79" w:rsidRPr="00D333A9">
        <w:rPr>
          <w:lang w:val="fr-BE"/>
        </w:rPr>
        <w:t>d’alcool par semaine, à répartir sur plusieurs jours</w:t>
      </w:r>
      <w:r w:rsidR="00323BAF" w:rsidRPr="00D333A9">
        <w:rPr>
          <w:lang w:val="fr-BE"/>
        </w:rPr>
        <w:t> ;</w:t>
      </w:r>
      <w:r w:rsidR="00284EB1" w:rsidRPr="00D333A9">
        <w:rPr>
          <w:lang w:val="fr-BE"/>
        </w:rPr>
        <w:t xml:space="preserve"> </w:t>
      </w:r>
    </w:p>
    <w:p w:rsidR="00903A79" w:rsidRPr="00D333A9" w:rsidRDefault="005558CD" w:rsidP="00B222A6">
      <w:pPr>
        <w:pStyle w:val="Paragraphedeliste"/>
        <w:numPr>
          <w:ilvl w:val="0"/>
          <w:numId w:val="29"/>
        </w:numPr>
        <w:rPr>
          <w:lang w:val="fr-BE"/>
        </w:rPr>
      </w:pPr>
      <w:r>
        <w:rPr>
          <w:lang w:val="fr-BE"/>
        </w:rPr>
        <w:t>p</w:t>
      </w:r>
      <w:r w:rsidR="003C48FF" w:rsidRPr="00D333A9">
        <w:rPr>
          <w:lang w:val="fr-BE"/>
        </w:rPr>
        <w:t>révoir p</w:t>
      </w:r>
      <w:r w:rsidR="00903A79" w:rsidRPr="00D333A9">
        <w:rPr>
          <w:lang w:val="fr-BE"/>
        </w:rPr>
        <w:t xml:space="preserve">lusieurs jours </w:t>
      </w:r>
      <w:r w:rsidR="00252B7A" w:rsidRPr="00D333A9">
        <w:rPr>
          <w:lang w:val="fr-BE"/>
        </w:rPr>
        <w:t xml:space="preserve">dans la semaine </w:t>
      </w:r>
      <w:r w:rsidR="00323BAF" w:rsidRPr="00D333A9">
        <w:rPr>
          <w:lang w:val="fr-BE"/>
        </w:rPr>
        <w:t>sans alcool ;</w:t>
      </w:r>
    </w:p>
    <w:p w:rsidR="00903A79" w:rsidRPr="00D333A9" w:rsidRDefault="005558CD" w:rsidP="00284EB1">
      <w:pPr>
        <w:pStyle w:val="Paragraphedeliste"/>
        <w:numPr>
          <w:ilvl w:val="0"/>
          <w:numId w:val="29"/>
        </w:numPr>
        <w:rPr>
          <w:lang w:val="fr-BE"/>
        </w:rPr>
      </w:pPr>
      <w:r>
        <w:rPr>
          <w:bCs/>
          <w:lang w:val="fr-BE"/>
        </w:rPr>
        <w:t>p</w:t>
      </w:r>
      <w:r w:rsidR="00C135C2" w:rsidRPr="00D333A9">
        <w:rPr>
          <w:bCs/>
          <w:lang w:val="fr-BE"/>
        </w:rPr>
        <w:t>our les femmes enceintes, celles qui souhaitent le devenir et les femmes qui allaitent, il est reco</w:t>
      </w:r>
      <w:r w:rsidR="00323BAF" w:rsidRPr="00D333A9">
        <w:rPr>
          <w:bCs/>
          <w:lang w:val="fr-BE"/>
        </w:rPr>
        <w:t>mmandé de ne pas boire d</w:t>
      </w:r>
      <w:r w:rsidR="00CB4C44" w:rsidRPr="00D333A9">
        <w:rPr>
          <w:bCs/>
          <w:lang w:val="fr-BE"/>
        </w:rPr>
        <w:t>e boissons alcoolisées</w:t>
      </w:r>
      <w:r w:rsidR="00323BAF" w:rsidRPr="00D333A9">
        <w:rPr>
          <w:bCs/>
          <w:lang w:val="fr-BE"/>
        </w:rPr>
        <w:t>.</w:t>
      </w:r>
    </w:p>
    <w:p w:rsidR="00284EB1" w:rsidRPr="00D333A9" w:rsidRDefault="00284EB1" w:rsidP="00284EB1">
      <w:pPr>
        <w:pStyle w:val="Paragraphedeliste"/>
        <w:rPr>
          <w:lang w:val="fr-BE"/>
        </w:rPr>
      </w:pPr>
    </w:p>
    <w:p w:rsidR="00592B9C" w:rsidRPr="00D333A9" w:rsidRDefault="003C48FF" w:rsidP="00B03307">
      <w:pPr>
        <w:rPr>
          <w:lang w:val="fr-BE"/>
        </w:rPr>
      </w:pPr>
      <w:r w:rsidRPr="00D333A9">
        <w:rPr>
          <w:lang w:val="fr-BE"/>
        </w:rPr>
        <w:t xml:space="preserve">Pour </w:t>
      </w:r>
      <w:r w:rsidR="000F3C6A" w:rsidRPr="00D333A9">
        <w:rPr>
          <w:lang w:val="fr-BE"/>
        </w:rPr>
        <w:t xml:space="preserve">sensibiliser le public et les professionnels de la santé et </w:t>
      </w:r>
      <w:r w:rsidRPr="00D333A9">
        <w:rPr>
          <w:lang w:val="fr-BE"/>
        </w:rPr>
        <w:t>renforcer l’impact de ce</w:t>
      </w:r>
      <w:r w:rsidR="000F3C6A" w:rsidRPr="00D333A9">
        <w:rPr>
          <w:lang w:val="fr-BE"/>
        </w:rPr>
        <w:t>tte directive</w:t>
      </w:r>
      <w:r w:rsidRPr="00D333A9">
        <w:rPr>
          <w:lang w:val="fr-BE"/>
        </w:rPr>
        <w:t>,</w:t>
      </w:r>
      <w:r w:rsidR="000F3C6A" w:rsidRPr="00D333A9">
        <w:rPr>
          <w:lang w:val="fr-BE"/>
        </w:rPr>
        <w:t xml:space="preserve"> le</w:t>
      </w:r>
      <w:r w:rsidR="00284EB1" w:rsidRPr="00D333A9">
        <w:rPr>
          <w:lang w:val="fr-BE"/>
        </w:rPr>
        <w:t xml:space="preserve"> CSS recommande par ailleurs d’</w:t>
      </w:r>
      <w:r w:rsidR="00592B9C" w:rsidRPr="00D333A9">
        <w:rPr>
          <w:lang w:val="fr-BE"/>
        </w:rPr>
        <w:t xml:space="preserve">accompagner </w:t>
      </w:r>
      <w:r w:rsidR="000F3C6A" w:rsidRPr="00D333A9">
        <w:rPr>
          <w:lang w:val="fr-BE"/>
        </w:rPr>
        <w:t xml:space="preserve">celle-ci </w:t>
      </w:r>
      <w:r w:rsidR="00323BAF" w:rsidRPr="00D333A9">
        <w:rPr>
          <w:lang w:val="fr-BE"/>
        </w:rPr>
        <w:t>d’</w:t>
      </w:r>
      <w:r w:rsidR="00106C18" w:rsidRPr="00D333A9">
        <w:rPr>
          <w:lang w:val="fr-BE"/>
        </w:rPr>
        <w:t>autres</w:t>
      </w:r>
      <w:r w:rsidR="00592B9C" w:rsidRPr="00D333A9">
        <w:rPr>
          <w:lang w:val="fr-BE"/>
        </w:rPr>
        <w:t xml:space="preserve"> mesures </w:t>
      </w:r>
      <w:r w:rsidR="00323BAF" w:rsidRPr="00D333A9">
        <w:rPr>
          <w:lang w:val="fr-BE"/>
        </w:rPr>
        <w:t>qui viseraient</w:t>
      </w:r>
      <w:r w:rsidR="00106C18" w:rsidRPr="00D333A9">
        <w:rPr>
          <w:lang w:val="fr-BE"/>
        </w:rPr>
        <w:t xml:space="preserve"> à</w:t>
      </w:r>
      <w:r w:rsidR="00592B9C" w:rsidRPr="00D333A9">
        <w:rPr>
          <w:lang w:val="fr-BE"/>
        </w:rPr>
        <w:t xml:space="preserve"> </w:t>
      </w:r>
      <w:r w:rsidR="00962890" w:rsidRPr="00D333A9">
        <w:rPr>
          <w:lang w:val="fr-BE"/>
        </w:rPr>
        <w:t>limiter l’offre</w:t>
      </w:r>
      <w:r w:rsidR="00B03307" w:rsidRPr="00D333A9">
        <w:rPr>
          <w:lang w:val="fr-BE"/>
        </w:rPr>
        <w:t xml:space="preserve">, et principalement </w:t>
      </w:r>
      <w:r w:rsidR="00C135C2" w:rsidRPr="00D333A9">
        <w:rPr>
          <w:lang w:val="fr-BE"/>
        </w:rPr>
        <w:t xml:space="preserve">: </w:t>
      </w:r>
    </w:p>
    <w:p w:rsidR="00C42195" w:rsidRPr="00D333A9" w:rsidRDefault="00C42195" w:rsidP="00284EB1">
      <w:pPr>
        <w:ind w:right="96"/>
        <w:jc w:val="center"/>
        <w:rPr>
          <w:lang w:val="fr-BE"/>
        </w:rPr>
      </w:pPr>
    </w:p>
    <w:p w:rsidR="00592B9C" w:rsidRPr="00D333A9" w:rsidRDefault="005558CD" w:rsidP="00284EB1">
      <w:pPr>
        <w:pStyle w:val="Paragraphedeliste"/>
        <w:numPr>
          <w:ilvl w:val="0"/>
          <w:numId w:val="29"/>
        </w:numPr>
        <w:ind w:right="96"/>
        <w:rPr>
          <w:lang w:val="fr-BE"/>
        </w:rPr>
      </w:pPr>
      <w:r>
        <w:rPr>
          <w:rFonts w:cs="Arial"/>
          <w:color w:val="000000"/>
          <w:lang w:val="fr-BE"/>
        </w:rPr>
        <w:t>i</w:t>
      </w:r>
      <w:r w:rsidR="00C135C2" w:rsidRPr="00D333A9">
        <w:rPr>
          <w:rFonts w:cs="Arial"/>
          <w:color w:val="000000"/>
          <w:lang w:val="fr-BE"/>
        </w:rPr>
        <w:t>nterdiction complète de la publicité et du sponsoring liés à l'alcool</w:t>
      </w:r>
      <w:r w:rsidR="00106C18" w:rsidRPr="00D333A9">
        <w:rPr>
          <w:rFonts w:cs="Arial"/>
          <w:color w:val="000000"/>
          <w:lang w:val="fr-BE"/>
        </w:rPr>
        <w:t> ;</w:t>
      </w:r>
    </w:p>
    <w:p w:rsidR="008A24F8" w:rsidRPr="00D333A9" w:rsidRDefault="005558CD" w:rsidP="00284EB1">
      <w:pPr>
        <w:pStyle w:val="Paragraphedeliste"/>
        <w:numPr>
          <w:ilvl w:val="0"/>
          <w:numId w:val="29"/>
        </w:numPr>
        <w:ind w:right="96"/>
        <w:rPr>
          <w:lang w:val="fr-BE"/>
        </w:rPr>
      </w:pPr>
      <w:r>
        <w:rPr>
          <w:lang w:val="fr-BE"/>
        </w:rPr>
        <w:t>a</w:t>
      </w:r>
      <w:r w:rsidR="003C48FF" w:rsidRPr="00D333A9">
        <w:rPr>
          <w:lang w:val="fr-BE"/>
        </w:rPr>
        <w:t>daptation de</w:t>
      </w:r>
      <w:r w:rsidR="00592B9C" w:rsidRPr="00D333A9">
        <w:rPr>
          <w:lang w:val="fr-BE"/>
        </w:rPr>
        <w:t xml:space="preserve"> l’étiquetage</w:t>
      </w:r>
      <w:r w:rsidR="0075501B" w:rsidRPr="00D333A9">
        <w:rPr>
          <w:lang w:val="fr-BE"/>
        </w:rPr>
        <w:t xml:space="preserve"> </w:t>
      </w:r>
      <w:r w:rsidR="000F3C6A" w:rsidRPr="00D333A9">
        <w:rPr>
          <w:lang w:val="fr-BE"/>
        </w:rPr>
        <w:t xml:space="preserve">des boissons alcoolisées </w:t>
      </w:r>
      <w:r w:rsidR="0075501B" w:rsidRPr="00D333A9">
        <w:rPr>
          <w:lang w:val="fr-BE"/>
        </w:rPr>
        <w:t>par l’ajout des informations suivantes</w:t>
      </w:r>
      <w:r w:rsidR="008A24F8" w:rsidRPr="00D333A9">
        <w:rPr>
          <w:lang w:val="fr-BE"/>
        </w:rPr>
        <w:t> :</w:t>
      </w:r>
    </w:p>
    <w:p w:rsidR="008A24F8" w:rsidRPr="00D333A9" w:rsidRDefault="00284EB1" w:rsidP="00284EB1">
      <w:pPr>
        <w:pStyle w:val="Paragraphedeliste"/>
        <w:numPr>
          <w:ilvl w:val="1"/>
          <w:numId w:val="29"/>
        </w:numPr>
        <w:ind w:right="96"/>
        <w:rPr>
          <w:lang w:val="fr-BE"/>
        </w:rPr>
      </w:pPr>
      <w:r w:rsidRPr="00D333A9">
        <w:rPr>
          <w:lang w:val="fr-BE"/>
        </w:rPr>
        <w:t>indications nutritionnelles (</w:t>
      </w:r>
      <w:r w:rsidR="008A24F8" w:rsidRPr="00D333A9">
        <w:rPr>
          <w:lang w:val="fr-BE"/>
        </w:rPr>
        <w:t>au minimum le nombre de calories</w:t>
      </w:r>
      <w:r w:rsidR="00D55155" w:rsidRPr="00D333A9">
        <w:rPr>
          <w:lang w:val="fr-BE"/>
        </w:rPr>
        <w:t xml:space="preserve"> par 100</w:t>
      </w:r>
      <w:r w:rsidR="005558CD">
        <w:rPr>
          <w:lang w:val="fr-BE"/>
        </w:rPr>
        <w:t xml:space="preserve"> </w:t>
      </w:r>
      <w:r w:rsidR="00D55155" w:rsidRPr="00D333A9">
        <w:rPr>
          <w:lang w:val="fr-BE"/>
        </w:rPr>
        <w:t>ml</w:t>
      </w:r>
      <w:r w:rsidR="008A24F8" w:rsidRPr="00D333A9">
        <w:rPr>
          <w:lang w:val="fr-BE"/>
        </w:rPr>
        <w:t>)</w:t>
      </w:r>
      <w:r w:rsidRPr="00D333A9">
        <w:rPr>
          <w:lang w:val="fr-BE"/>
        </w:rPr>
        <w:t>,</w:t>
      </w:r>
      <w:r w:rsidR="00592B9C" w:rsidRPr="00D333A9">
        <w:rPr>
          <w:lang w:val="fr-BE"/>
        </w:rPr>
        <w:t xml:space="preserve"> </w:t>
      </w:r>
    </w:p>
    <w:p w:rsidR="00284EB1" w:rsidRPr="00D333A9" w:rsidRDefault="00903A79" w:rsidP="00284EB1">
      <w:pPr>
        <w:pStyle w:val="Paragraphedeliste"/>
        <w:numPr>
          <w:ilvl w:val="1"/>
          <w:numId w:val="29"/>
        </w:numPr>
        <w:ind w:right="96"/>
        <w:rPr>
          <w:lang w:val="fr-BE"/>
        </w:rPr>
      </w:pPr>
      <w:r w:rsidRPr="00D333A9">
        <w:rPr>
          <w:lang w:val="fr-BE"/>
        </w:rPr>
        <w:t xml:space="preserve">nombre </w:t>
      </w:r>
      <w:r w:rsidR="00592B9C" w:rsidRPr="00D333A9">
        <w:rPr>
          <w:lang w:val="fr-BE"/>
        </w:rPr>
        <w:t xml:space="preserve">d’unités d’alcool par contenant, </w:t>
      </w:r>
    </w:p>
    <w:p w:rsidR="00903A79" w:rsidRPr="00D333A9" w:rsidRDefault="00903A79" w:rsidP="00284EB1">
      <w:pPr>
        <w:pStyle w:val="Paragraphedeliste"/>
        <w:numPr>
          <w:ilvl w:val="1"/>
          <w:numId w:val="29"/>
        </w:numPr>
        <w:ind w:right="96"/>
        <w:rPr>
          <w:lang w:val="fr-BE"/>
        </w:rPr>
      </w:pPr>
      <w:r w:rsidRPr="00D333A9">
        <w:rPr>
          <w:lang w:val="fr-BE"/>
        </w:rPr>
        <w:t>mention « </w:t>
      </w:r>
      <w:r w:rsidR="00CE05BD" w:rsidRPr="00D333A9">
        <w:rPr>
          <w:lang w:val="fr-BE"/>
        </w:rPr>
        <w:t xml:space="preserve"> </w:t>
      </w:r>
      <w:r w:rsidR="00536853" w:rsidRPr="00D333A9">
        <w:rPr>
          <w:lang w:val="fr-BE"/>
        </w:rPr>
        <w:t>l’abus d’alcool est dangereux</w:t>
      </w:r>
      <w:r w:rsidRPr="00D333A9">
        <w:rPr>
          <w:lang w:val="fr-BE"/>
        </w:rPr>
        <w:t xml:space="preserve"> pour la santé »</w:t>
      </w:r>
      <w:r w:rsidR="00D55155" w:rsidRPr="00D333A9">
        <w:rPr>
          <w:lang w:val="fr-BE"/>
        </w:rPr>
        <w:t xml:space="preserve"> </w:t>
      </w:r>
      <w:r w:rsidR="00C135C2" w:rsidRPr="00D333A9">
        <w:rPr>
          <w:rFonts w:cs="Arial"/>
          <w:color w:val="000000"/>
          <w:lang w:val="fr-BE"/>
        </w:rPr>
        <w:t>à la place de l’actuel slogan « notre savoir-faire se déguste avec sagesse » ;</w:t>
      </w:r>
    </w:p>
    <w:p w:rsidR="000A66A0" w:rsidRPr="00D333A9" w:rsidRDefault="005558CD" w:rsidP="00C135C2">
      <w:pPr>
        <w:pStyle w:val="Paragraphedeliste"/>
        <w:numPr>
          <w:ilvl w:val="0"/>
          <w:numId w:val="29"/>
        </w:numPr>
        <w:ind w:right="96"/>
        <w:rPr>
          <w:lang w:val="fr-BE"/>
        </w:rPr>
      </w:pPr>
      <w:r>
        <w:rPr>
          <w:lang w:val="fr-BE"/>
        </w:rPr>
        <w:t>m</w:t>
      </w:r>
      <w:r w:rsidR="0094590D" w:rsidRPr="00D333A9">
        <w:rPr>
          <w:lang w:val="fr-BE"/>
        </w:rPr>
        <w:t>ise</w:t>
      </w:r>
      <w:r w:rsidR="000A66A0" w:rsidRPr="00D333A9">
        <w:rPr>
          <w:lang w:val="fr-BE"/>
        </w:rPr>
        <w:t xml:space="preserve"> en œuvre </w:t>
      </w:r>
      <w:r w:rsidR="0094590D" w:rsidRPr="00D333A9">
        <w:rPr>
          <w:lang w:val="fr-BE"/>
        </w:rPr>
        <w:t>d’</w:t>
      </w:r>
      <w:r w:rsidR="000A66A0" w:rsidRPr="00D333A9">
        <w:rPr>
          <w:lang w:val="fr-BE"/>
        </w:rPr>
        <w:t xml:space="preserve">une politique de prix </w:t>
      </w:r>
      <w:r w:rsidR="0094590D" w:rsidRPr="00D333A9">
        <w:rPr>
          <w:lang w:val="fr-BE"/>
        </w:rPr>
        <w:t>diversifiée</w:t>
      </w:r>
      <w:r w:rsidR="000A66A0" w:rsidRPr="00D333A9">
        <w:rPr>
          <w:lang w:val="fr-BE"/>
        </w:rPr>
        <w:t>, avec comme mesures possibles :</w:t>
      </w:r>
    </w:p>
    <w:p w:rsidR="000A66A0" w:rsidRPr="00D333A9" w:rsidRDefault="00252B7A" w:rsidP="00FA7A97">
      <w:pPr>
        <w:pStyle w:val="Paragraphedeliste"/>
        <w:numPr>
          <w:ilvl w:val="1"/>
          <w:numId w:val="29"/>
        </w:numPr>
        <w:ind w:right="96"/>
        <w:rPr>
          <w:lang w:val="fr-BE"/>
        </w:rPr>
      </w:pPr>
      <w:r w:rsidRPr="00D333A9">
        <w:rPr>
          <w:lang w:val="fr-BE"/>
        </w:rPr>
        <w:t xml:space="preserve">prix </w:t>
      </w:r>
      <w:r w:rsidR="00C669E4" w:rsidRPr="00D333A9">
        <w:rPr>
          <w:lang w:val="fr-BE"/>
        </w:rPr>
        <w:t xml:space="preserve">minimum </w:t>
      </w:r>
      <w:r w:rsidR="00536853" w:rsidRPr="00D333A9">
        <w:rPr>
          <w:lang w:val="fr-BE"/>
        </w:rPr>
        <w:t xml:space="preserve">par </w:t>
      </w:r>
      <w:r w:rsidR="00C135C2" w:rsidRPr="00D333A9">
        <w:rPr>
          <w:lang w:val="fr-BE"/>
        </w:rPr>
        <w:t>unité d’alcool vendue au détail</w:t>
      </w:r>
      <w:r w:rsidR="00FA7A97" w:rsidRPr="00D333A9">
        <w:rPr>
          <w:lang w:val="fr-BE"/>
        </w:rPr>
        <w:t>,</w:t>
      </w:r>
      <w:r w:rsidR="00106C18" w:rsidRPr="00D333A9">
        <w:rPr>
          <w:lang w:val="fr-BE"/>
        </w:rPr>
        <w:t xml:space="preserve"> </w:t>
      </w:r>
    </w:p>
    <w:p w:rsidR="000A66A0" w:rsidRPr="00D333A9" w:rsidRDefault="00C135C2" w:rsidP="00FA7A97">
      <w:pPr>
        <w:pStyle w:val="Paragraphedeliste"/>
        <w:numPr>
          <w:ilvl w:val="1"/>
          <w:numId w:val="29"/>
        </w:numPr>
        <w:ind w:right="96"/>
        <w:rPr>
          <w:lang w:val="fr-BE"/>
        </w:rPr>
      </w:pPr>
      <w:r w:rsidRPr="00D333A9">
        <w:rPr>
          <w:rFonts w:cs="Arial"/>
          <w:lang w:val="fr-BE"/>
        </w:rPr>
        <w:t>interdiction d’of</w:t>
      </w:r>
      <w:r w:rsidR="00D460CD" w:rsidRPr="00D333A9">
        <w:rPr>
          <w:rFonts w:cs="Arial"/>
          <w:lang w:val="fr-BE"/>
        </w:rPr>
        <w:t xml:space="preserve">frir </w:t>
      </w:r>
      <w:r w:rsidR="000F3C6A" w:rsidRPr="00D333A9">
        <w:rPr>
          <w:rFonts w:cs="Arial"/>
          <w:lang w:val="fr-BE"/>
        </w:rPr>
        <w:t>des boissons alcoolisées gratuitement ou à prix considérablement réduit</w:t>
      </w:r>
      <w:r w:rsidR="00FA7A97" w:rsidRPr="00D333A9">
        <w:rPr>
          <w:rFonts w:cs="Arial"/>
          <w:lang w:val="fr-BE"/>
        </w:rPr>
        <w:t>,</w:t>
      </w:r>
    </w:p>
    <w:p w:rsidR="00C135C2" w:rsidRPr="00D333A9" w:rsidRDefault="000F3C6A" w:rsidP="00FA7A97">
      <w:pPr>
        <w:pStyle w:val="Paragraphedeliste"/>
        <w:numPr>
          <w:ilvl w:val="1"/>
          <w:numId w:val="29"/>
        </w:numPr>
        <w:ind w:right="96"/>
        <w:rPr>
          <w:lang w:val="fr-BE"/>
        </w:rPr>
      </w:pPr>
      <w:r w:rsidRPr="00D333A9">
        <w:rPr>
          <w:rFonts w:cs="Arial"/>
          <w:lang w:val="fr-BE"/>
        </w:rPr>
        <w:t xml:space="preserve">augmentation des </w:t>
      </w:r>
      <w:r w:rsidR="000A66A0" w:rsidRPr="00D333A9">
        <w:rPr>
          <w:rFonts w:cs="Arial"/>
          <w:lang w:val="fr-BE"/>
        </w:rPr>
        <w:t>taxes et accises</w:t>
      </w:r>
      <w:r w:rsidR="00D460CD" w:rsidRPr="00D333A9">
        <w:rPr>
          <w:rFonts w:cs="Arial"/>
          <w:lang w:val="fr-BE"/>
        </w:rPr>
        <w:t> ;</w:t>
      </w:r>
    </w:p>
    <w:p w:rsidR="00862521" w:rsidRPr="00CB21B0" w:rsidRDefault="005558CD" w:rsidP="00D460CD">
      <w:pPr>
        <w:pStyle w:val="Paragraphedeliste"/>
        <w:numPr>
          <w:ilvl w:val="0"/>
          <w:numId w:val="29"/>
        </w:numPr>
        <w:autoSpaceDE w:val="0"/>
        <w:autoSpaceDN w:val="0"/>
        <w:adjustRightInd w:val="0"/>
        <w:rPr>
          <w:rFonts w:cs="Arial"/>
          <w:color w:val="000000"/>
          <w:lang w:val="fr-BE"/>
        </w:rPr>
      </w:pPr>
      <w:r>
        <w:rPr>
          <w:rFonts w:cs="Arial"/>
          <w:color w:val="000000"/>
          <w:lang w:val="fr-BE"/>
        </w:rPr>
        <w:t>r</w:t>
      </w:r>
      <w:r w:rsidR="00D460CD" w:rsidRPr="00D333A9">
        <w:rPr>
          <w:rFonts w:cs="Arial"/>
          <w:color w:val="000000"/>
          <w:lang w:val="fr-BE"/>
        </w:rPr>
        <w:t>éduire la disponibilité et l’offre de boissons alcoolisées (</w:t>
      </w:r>
      <w:r w:rsidR="00D460CD" w:rsidRPr="00D333A9">
        <w:rPr>
          <w:rFonts w:cs="Arial"/>
          <w:lang w:val="fr-BE"/>
        </w:rPr>
        <w:t>par ex. interdiction de vente d’alcool</w:t>
      </w:r>
      <w:r w:rsidR="003C48FF" w:rsidRPr="00D333A9">
        <w:rPr>
          <w:rFonts w:cs="Arial"/>
          <w:lang w:val="fr-BE"/>
        </w:rPr>
        <w:t xml:space="preserve"> dans les </w:t>
      </w:r>
      <w:r w:rsidR="0075118A">
        <w:rPr>
          <w:rFonts w:cs="Arial"/>
          <w:lang w:val="fr-BE"/>
        </w:rPr>
        <w:t>stations-service</w:t>
      </w:r>
      <w:r w:rsidR="003C48FF" w:rsidRPr="00D333A9">
        <w:rPr>
          <w:rFonts w:cs="Arial"/>
          <w:lang w:val="fr-BE"/>
        </w:rPr>
        <w:t>, via des distributeurs automatiques</w:t>
      </w:r>
      <w:r w:rsidR="00D460CD" w:rsidRPr="00D333A9">
        <w:rPr>
          <w:rFonts w:cs="Arial"/>
          <w:lang w:val="fr-BE"/>
        </w:rPr>
        <w:t xml:space="preserve"> et les magasins de nuit)</w:t>
      </w:r>
      <w:r w:rsidR="00862521">
        <w:rPr>
          <w:rFonts w:cs="Arial"/>
          <w:lang w:val="fr-BE"/>
        </w:rPr>
        <w:t> ;</w:t>
      </w:r>
    </w:p>
    <w:p w:rsidR="00D460CD" w:rsidRPr="00CB21B0" w:rsidRDefault="005558CD" w:rsidP="00CB21B0">
      <w:pPr>
        <w:pStyle w:val="Paragraphedeliste"/>
        <w:numPr>
          <w:ilvl w:val="0"/>
          <w:numId w:val="29"/>
        </w:numPr>
        <w:autoSpaceDE w:val="0"/>
        <w:autoSpaceDN w:val="0"/>
        <w:adjustRightInd w:val="0"/>
        <w:rPr>
          <w:rFonts w:cs="Arial"/>
          <w:color w:val="000000"/>
          <w:lang w:val="fr-BE"/>
        </w:rPr>
      </w:pPr>
      <w:r>
        <w:rPr>
          <w:rFonts w:cs="Arial"/>
          <w:color w:val="000000"/>
          <w:lang w:val="fr-BE"/>
        </w:rPr>
        <w:t>g</w:t>
      </w:r>
      <w:r w:rsidR="00862521" w:rsidRPr="00D333A9">
        <w:rPr>
          <w:rFonts w:cs="Arial"/>
          <w:color w:val="000000"/>
          <w:lang w:val="fr-BE"/>
        </w:rPr>
        <w:t xml:space="preserve">arantir une mise à disposition gratuite d’eau </w:t>
      </w:r>
      <w:r w:rsidR="00862521" w:rsidRPr="00B53E46">
        <w:rPr>
          <w:rFonts w:cs="Arial"/>
          <w:color w:val="000000"/>
          <w:lang w:val="fr-BE"/>
        </w:rPr>
        <w:t>du robinet</w:t>
      </w:r>
      <w:r w:rsidR="00862521">
        <w:rPr>
          <w:rFonts w:cs="Arial"/>
          <w:color w:val="000000"/>
          <w:lang w:val="fr-BE"/>
        </w:rPr>
        <w:t xml:space="preserve"> </w:t>
      </w:r>
      <w:r w:rsidR="00CB21B0">
        <w:rPr>
          <w:rFonts w:cs="Arial"/>
          <w:color w:val="000000"/>
          <w:lang w:val="fr-BE"/>
        </w:rPr>
        <w:t>dans l’HORECA.</w:t>
      </w:r>
    </w:p>
    <w:p w:rsidR="00F40D3F" w:rsidRPr="00D333A9" w:rsidRDefault="00F40D3F" w:rsidP="00F40D3F">
      <w:pPr>
        <w:pStyle w:val="Paragraphedeliste"/>
        <w:ind w:right="96"/>
        <w:rPr>
          <w:lang w:val="fr-BE"/>
        </w:rPr>
      </w:pPr>
    </w:p>
    <w:p w:rsidR="009D0F92" w:rsidRPr="00D333A9" w:rsidRDefault="009D0F92">
      <w:pPr>
        <w:spacing w:after="200" w:line="276" w:lineRule="auto"/>
        <w:jc w:val="left"/>
        <w:rPr>
          <w:rFonts w:eastAsiaTheme="majorEastAsia" w:cstheme="majorBidi"/>
          <w:b/>
          <w:bCs/>
          <w:szCs w:val="26"/>
          <w:lang w:val="fr-BE"/>
        </w:rPr>
      </w:pPr>
      <w:r w:rsidRPr="00D333A9">
        <w:rPr>
          <w:lang w:val="fr-BE"/>
        </w:rPr>
        <w:br w:type="page"/>
      </w:r>
    </w:p>
    <w:p w:rsidR="00592B9C" w:rsidRPr="00D333A9" w:rsidRDefault="00BE2D7E" w:rsidP="00F40D3F">
      <w:pPr>
        <w:pStyle w:val="Titre2"/>
        <w:rPr>
          <w:lang w:val="fr-BE"/>
        </w:rPr>
      </w:pPr>
      <w:r w:rsidRPr="00D333A9">
        <w:rPr>
          <w:lang w:val="fr-BE"/>
        </w:rPr>
        <w:t>R</w:t>
      </w:r>
      <w:r w:rsidR="00F40D3F" w:rsidRPr="00D333A9">
        <w:rPr>
          <w:lang w:val="fr-BE"/>
        </w:rPr>
        <w:t xml:space="preserve">ecommandations </w:t>
      </w:r>
      <w:r w:rsidRPr="00D333A9">
        <w:rPr>
          <w:lang w:val="fr-BE"/>
        </w:rPr>
        <w:t>spécifiques</w:t>
      </w:r>
    </w:p>
    <w:p w:rsidR="00284EB1" w:rsidRPr="00D333A9" w:rsidRDefault="00140E7B" w:rsidP="00284EB1">
      <w:pPr>
        <w:rPr>
          <w:lang w:val="fr-BE"/>
        </w:rPr>
      </w:pPr>
      <w:r w:rsidRPr="00D333A9">
        <w:rPr>
          <w:lang w:val="fr-BE"/>
        </w:rPr>
        <w:t>En cas de consommation</w:t>
      </w:r>
      <w:r w:rsidR="003C48FF" w:rsidRPr="00D333A9">
        <w:rPr>
          <w:lang w:val="fr-BE"/>
        </w:rPr>
        <w:t xml:space="preserve"> d’alcool, </w:t>
      </w:r>
      <w:r w:rsidR="00C135C2" w:rsidRPr="00D333A9">
        <w:rPr>
          <w:lang w:val="fr-BE"/>
        </w:rPr>
        <w:t xml:space="preserve">le CSS </w:t>
      </w:r>
      <w:r w:rsidR="0075501B" w:rsidRPr="00D333A9">
        <w:rPr>
          <w:lang w:val="fr-BE"/>
        </w:rPr>
        <w:t>préconise</w:t>
      </w:r>
      <w:r w:rsidR="00C135C2" w:rsidRPr="00D333A9">
        <w:rPr>
          <w:lang w:val="fr-BE"/>
        </w:rPr>
        <w:t xml:space="preserve"> </w:t>
      </w:r>
      <w:r w:rsidR="00F40D3F" w:rsidRPr="00D333A9">
        <w:rPr>
          <w:lang w:val="fr-BE"/>
        </w:rPr>
        <w:t xml:space="preserve">par ailleurs </w:t>
      </w:r>
      <w:r w:rsidR="00284EB1" w:rsidRPr="00D333A9">
        <w:rPr>
          <w:lang w:val="fr-BE"/>
        </w:rPr>
        <w:t xml:space="preserve">de : </w:t>
      </w:r>
    </w:p>
    <w:p w:rsidR="00284EB1" w:rsidRPr="00D333A9" w:rsidRDefault="00284EB1" w:rsidP="00284EB1">
      <w:pPr>
        <w:rPr>
          <w:lang w:val="fr-BE"/>
        </w:rPr>
      </w:pPr>
    </w:p>
    <w:p w:rsidR="000A66A0" w:rsidRPr="00D333A9" w:rsidRDefault="00284EB1" w:rsidP="000A66A0">
      <w:pPr>
        <w:pStyle w:val="Paragraphedeliste"/>
        <w:numPr>
          <w:ilvl w:val="0"/>
          <w:numId w:val="23"/>
        </w:numPr>
        <w:rPr>
          <w:lang w:val="fr-BE"/>
        </w:rPr>
      </w:pPr>
      <w:r w:rsidRPr="00D333A9">
        <w:rPr>
          <w:lang w:val="fr-BE"/>
        </w:rPr>
        <w:t>limiter la quantité totale d</w:t>
      </w:r>
      <w:r w:rsidR="00144CB6" w:rsidRPr="00D333A9">
        <w:rPr>
          <w:lang w:val="fr-BE"/>
        </w:rPr>
        <w:t xml:space="preserve">’alcool </w:t>
      </w:r>
      <w:r w:rsidR="0045727B" w:rsidRPr="00D333A9">
        <w:rPr>
          <w:lang w:val="fr-BE"/>
        </w:rPr>
        <w:t xml:space="preserve">consommée </w:t>
      </w:r>
      <w:r w:rsidR="00144CB6" w:rsidRPr="00D333A9">
        <w:rPr>
          <w:lang w:val="fr-BE"/>
        </w:rPr>
        <w:t>en une occasion</w:t>
      </w:r>
      <w:r w:rsidR="002E4B21" w:rsidRPr="00D333A9">
        <w:rPr>
          <w:lang w:val="fr-BE"/>
        </w:rPr>
        <w:t xml:space="preserve"> </w:t>
      </w:r>
      <w:r w:rsidR="000A66A0" w:rsidRPr="00D333A9">
        <w:rPr>
          <w:lang w:val="fr-BE"/>
        </w:rPr>
        <w:t xml:space="preserve">et proscrire le </w:t>
      </w:r>
      <w:proofErr w:type="spellStart"/>
      <w:r w:rsidR="000A66A0" w:rsidRPr="00D333A9">
        <w:rPr>
          <w:i/>
          <w:lang w:val="fr-BE"/>
        </w:rPr>
        <w:t>binge</w:t>
      </w:r>
      <w:proofErr w:type="spellEnd"/>
      <w:r w:rsidR="000A66A0" w:rsidRPr="00D333A9">
        <w:rPr>
          <w:i/>
          <w:lang w:val="fr-BE"/>
        </w:rPr>
        <w:t xml:space="preserve"> </w:t>
      </w:r>
      <w:proofErr w:type="spellStart"/>
      <w:r w:rsidR="000A66A0" w:rsidRPr="00D333A9">
        <w:rPr>
          <w:i/>
          <w:lang w:val="fr-BE"/>
        </w:rPr>
        <w:t>drinking</w:t>
      </w:r>
      <w:proofErr w:type="spellEnd"/>
      <w:r w:rsidR="00280959" w:rsidRPr="00D333A9">
        <w:rPr>
          <w:lang w:val="fr-BE"/>
        </w:rPr>
        <w:t xml:space="preserve"> (plus de </w:t>
      </w:r>
      <w:r w:rsidR="00B22DDA">
        <w:rPr>
          <w:lang w:val="fr-BE"/>
        </w:rPr>
        <w:t>4</w:t>
      </w:r>
      <w:r w:rsidR="00B22DDA" w:rsidRPr="00D333A9">
        <w:rPr>
          <w:lang w:val="fr-BE"/>
        </w:rPr>
        <w:t xml:space="preserve"> </w:t>
      </w:r>
      <w:r w:rsidR="00280959" w:rsidRPr="00D333A9">
        <w:rPr>
          <w:lang w:val="fr-BE"/>
        </w:rPr>
        <w:t>unités standards</w:t>
      </w:r>
      <w:r w:rsidR="00B22DDA">
        <w:rPr>
          <w:lang w:val="fr-BE"/>
        </w:rPr>
        <w:t xml:space="preserve"> pour les femmes et 6 unités standards pour les hommes,</w:t>
      </w:r>
      <w:r w:rsidR="00280959" w:rsidRPr="00D333A9">
        <w:rPr>
          <w:lang w:val="fr-BE"/>
        </w:rPr>
        <w:t xml:space="preserve"> </w:t>
      </w:r>
      <w:r w:rsidR="00B301AF" w:rsidRPr="00D333A9">
        <w:rPr>
          <w:lang w:val="fr-BE"/>
        </w:rPr>
        <w:t>en moins de 2 heures</w:t>
      </w:r>
      <w:r w:rsidR="000A66A0" w:rsidRPr="00D333A9">
        <w:rPr>
          <w:lang w:val="fr-BE"/>
        </w:rPr>
        <w:t xml:space="preserve">), qui est associé à un risque accru de </w:t>
      </w:r>
      <w:r w:rsidR="0075118A" w:rsidRPr="000B5A03">
        <w:rPr>
          <w:lang w:val="fr-BE"/>
        </w:rPr>
        <w:t>morbidité</w:t>
      </w:r>
      <w:r w:rsidR="000A66A0" w:rsidRPr="00D333A9">
        <w:rPr>
          <w:lang w:val="fr-BE"/>
        </w:rPr>
        <w:t xml:space="preserve"> et d’alcoolo-dépendance ;</w:t>
      </w:r>
    </w:p>
    <w:p w:rsidR="00284EB1" w:rsidRPr="00D333A9" w:rsidRDefault="00284EB1" w:rsidP="00284EB1">
      <w:pPr>
        <w:pStyle w:val="Paragraphedeliste"/>
        <w:numPr>
          <w:ilvl w:val="0"/>
          <w:numId w:val="3"/>
        </w:numPr>
        <w:spacing w:after="160" w:line="256" w:lineRule="auto"/>
        <w:jc w:val="left"/>
        <w:rPr>
          <w:lang w:val="fr-BE"/>
        </w:rPr>
      </w:pPr>
      <w:r w:rsidRPr="00D333A9">
        <w:rPr>
          <w:lang w:val="fr-BE"/>
        </w:rPr>
        <w:t xml:space="preserve">boire lentement, en mangeant et en alternant avec de l’eau ; </w:t>
      </w:r>
    </w:p>
    <w:p w:rsidR="00284EB1" w:rsidRPr="00D333A9" w:rsidRDefault="00284EB1" w:rsidP="00284EB1">
      <w:pPr>
        <w:pStyle w:val="Paragraphedeliste"/>
        <w:numPr>
          <w:ilvl w:val="0"/>
          <w:numId w:val="3"/>
        </w:numPr>
        <w:autoSpaceDE w:val="0"/>
        <w:autoSpaceDN w:val="0"/>
        <w:adjustRightInd w:val="0"/>
        <w:rPr>
          <w:rFonts w:cs="Arial"/>
          <w:bCs/>
          <w:lang w:val="fr-BE"/>
        </w:rPr>
      </w:pPr>
      <w:r w:rsidRPr="00D333A9">
        <w:rPr>
          <w:rFonts w:cs="Arial"/>
          <w:bCs/>
          <w:lang w:val="fr-BE"/>
        </w:rPr>
        <w:t>s'assurer d’avoir des personnes de confiance à proximité et de pouvoir rentrer chez soi en toute sécurité.</w:t>
      </w:r>
    </w:p>
    <w:p w:rsidR="00284EB1" w:rsidRPr="00D333A9" w:rsidRDefault="00144CB6" w:rsidP="00284EB1">
      <w:pPr>
        <w:pStyle w:val="yiv4764875829msonormal"/>
        <w:pBdr>
          <w:bottom w:val="single" w:sz="6" w:space="0" w:color="F1F1F5"/>
        </w:pBdr>
        <w:rPr>
          <w:rFonts w:ascii="Arial" w:eastAsiaTheme="minorHAnsi" w:hAnsi="Arial" w:cstheme="minorBidi"/>
          <w:sz w:val="22"/>
          <w:szCs w:val="22"/>
          <w:lang w:val="fr-BE" w:eastAsia="en-US"/>
        </w:rPr>
      </w:pPr>
      <w:r w:rsidRPr="00D333A9">
        <w:rPr>
          <w:rFonts w:ascii="Arial" w:eastAsiaTheme="minorHAnsi" w:hAnsi="Arial" w:cstheme="minorBidi"/>
          <w:sz w:val="22"/>
          <w:szCs w:val="22"/>
          <w:lang w:val="fr-BE" w:eastAsia="en-US"/>
        </w:rPr>
        <w:t>Outre le respect des législations en la matière, l</w:t>
      </w:r>
      <w:r w:rsidR="00C135C2" w:rsidRPr="00D333A9">
        <w:rPr>
          <w:rFonts w:ascii="Arial" w:eastAsiaTheme="minorHAnsi" w:hAnsi="Arial" w:cstheme="minorBidi"/>
          <w:sz w:val="22"/>
          <w:szCs w:val="22"/>
          <w:lang w:val="fr-BE" w:eastAsia="en-US"/>
        </w:rPr>
        <w:t>e CSS recommande aussi</w:t>
      </w:r>
      <w:r w:rsidR="00284EB1" w:rsidRPr="00D333A9">
        <w:rPr>
          <w:rFonts w:ascii="Arial" w:eastAsiaTheme="minorHAnsi" w:hAnsi="Arial" w:cstheme="minorBidi"/>
          <w:sz w:val="22"/>
          <w:szCs w:val="22"/>
          <w:lang w:val="fr-BE" w:eastAsia="en-US"/>
        </w:rPr>
        <w:t xml:space="preserve"> de ne pas boire d’alcool dans les circonstances suivantes :</w:t>
      </w:r>
    </w:p>
    <w:p w:rsidR="00284EB1" w:rsidRPr="00D333A9" w:rsidRDefault="00144CB6" w:rsidP="00284EB1">
      <w:pPr>
        <w:pStyle w:val="Paragraphedeliste"/>
        <w:numPr>
          <w:ilvl w:val="0"/>
          <w:numId w:val="7"/>
        </w:numPr>
        <w:spacing w:after="160" w:line="256" w:lineRule="auto"/>
        <w:jc w:val="left"/>
        <w:rPr>
          <w:lang w:val="fr-BE"/>
        </w:rPr>
      </w:pPr>
      <w:r w:rsidRPr="00D333A9">
        <w:rPr>
          <w:lang w:val="fr-BE"/>
        </w:rPr>
        <w:t xml:space="preserve">en cas de </w:t>
      </w:r>
      <w:r w:rsidR="00185FE4" w:rsidRPr="00D333A9">
        <w:rPr>
          <w:lang w:val="fr-BE"/>
        </w:rPr>
        <w:t>conduite d’un véhicule</w:t>
      </w:r>
      <w:r w:rsidR="005558CD">
        <w:rPr>
          <w:lang w:val="fr-BE"/>
        </w:rPr>
        <w:t xml:space="preserve"> </w:t>
      </w:r>
      <w:r w:rsidR="00284EB1" w:rsidRPr="00D333A9">
        <w:rPr>
          <w:lang w:val="fr-BE"/>
        </w:rPr>
        <w:t>;</w:t>
      </w:r>
    </w:p>
    <w:p w:rsidR="00284EB1" w:rsidRPr="00D333A9" w:rsidRDefault="00284EB1" w:rsidP="00284EB1">
      <w:pPr>
        <w:pStyle w:val="Paragraphedeliste"/>
        <w:numPr>
          <w:ilvl w:val="0"/>
          <w:numId w:val="7"/>
        </w:numPr>
        <w:spacing w:after="160" w:line="256" w:lineRule="auto"/>
        <w:jc w:val="left"/>
        <w:rPr>
          <w:lang w:val="fr-BE"/>
        </w:rPr>
      </w:pPr>
      <w:r w:rsidRPr="00D333A9">
        <w:rPr>
          <w:lang w:val="fr-BE"/>
        </w:rPr>
        <w:t>avant, pendant et immédiatement après des efforts physiques et sportifs ;</w:t>
      </w:r>
    </w:p>
    <w:p w:rsidR="00284EB1" w:rsidRPr="00D333A9" w:rsidRDefault="00284EB1" w:rsidP="00284EB1">
      <w:pPr>
        <w:pStyle w:val="Paragraphedeliste"/>
        <w:numPr>
          <w:ilvl w:val="0"/>
          <w:numId w:val="7"/>
        </w:numPr>
        <w:spacing w:after="160" w:line="256" w:lineRule="auto"/>
        <w:jc w:val="left"/>
        <w:rPr>
          <w:lang w:val="fr-BE"/>
        </w:rPr>
      </w:pPr>
      <w:r w:rsidRPr="00D333A9">
        <w:rPr>
          <w:lang w:val="fr-BE"/>
        </w:rPr>
        <w:t>en cas de travail avec des machines, des appareils électriques, des échelles</w:t>
      </w:r>
      <w:r w:rsidR="005558CD">
        <w:rPr>
          <w:lang w:val="fr-BE"/>
        </w:rPr>
        <w:t xml:space="preserve">, etc. </w:t>
      </w:r>
      <w:r w:rsidRPr="00D333A9">
        <w:rPr>
          <w:lang w:val="fr-BE"/>
        </w:rPr>
        <w:t>;</w:t>
      </w:r>
    </w:p>
    <w:p w:rsidR="00284EB1" w:rsidRPr="00D333A9" w:rsidRDefault="00284EB1" w:rsidP="00284EB1">
      <w:pPr>
        <w:pStyle w:val="Paragraphedeliste"/>
        <w:numPr>
          <w:ilvl w:val="0"/>
          <w:numId w:val="7"/>
        </w:numPr>
        <w:spacing w:after="160" w:line="256" w:lineRule="auto"/>
        <w:jc w:val="left"/>
        <w:rPr>
          <w:lang w:val="fr-BE"/>
        </w:rPr>
      </w:pPr>
      <w:r w:rsidRPr="00D333A9">
        <w:rPr>
          <w:lang w:val="fr-BE"/>
        </w:rPr>
        <w:t>avant et pendant le travail ;</w:t>
      </w:r>
    </w:p>
    <w:p w:rsidR="00284EB1" w:rsidRPr="00D333A9" w:rsidRDefault="00284EB1" w:rsidP="00284EB1">
      <w:pPr>
        <w:pStyle w:val="Paragraphedeliste"/>
        <w:numPr>
          <w:ilvl w:val="0"/>
          <w:numId w:val="7"/>
        </w:numPr>
        <w:spacing w:after="160" w:line="256" w:lineRule="auto"/>
        <w:jc w:val="left"/>
        <w:rPr>
          <w:lang w:val="fr-BE"/>
        </w:rPr>
      </w:pPr>
      <w:r w:rsidRPr="00D333A9">
        <w:rPr>
          <w:lang w:val="fr-BE"/>
        </w:rPr>
        <w:t xml:space="preserve">en cas de responsabilité de la sécurité </w:t>
      </w:r>
      <w:r w:rsidR="002940D1" w:rsidRPr="00D333A9">
        <w:rPr>
          <w:lang w:val="fr-BE"/>
        </w:rPr>
        <w:t>d’autrui</w:t>
      </w:r>
      <w:r w:rsidRPr="00D333A9">
        <w:rPr>
          <w:lang w:val="fr-BE"/>
        </w:rPr>
        <w:t> ;</w:t>
      </w:r>
    </w:p>
    <w:p w:rsidR="00284EB1" w:rsidRPr="00D333A9" w:rsidRDefault="00284EB1" w:rsidP="00284EB1">
      <w:pPr>
        <w:pStyle w:val="Paragraphedeliste"/>
        <w:numPr>
          <w:ilvl w:val="0"/>
          <w:numId w:val="7"/>
        </w:numPr>
        <w:spacing w:after="160" w:line="256" w:lineRule="auto"/>
        <w:jc w:val="left"/>
        <w:rPr>
          <w:lang w:val="fr-BE"/>
        </w:rPr>
      </w:pPr>
      <w:r w:rsidRPr="00D333A9">
        <w:rPr>
          <w:lang w:val="fr-BE"/>
        </w:rPr>
        <w:t>pendant les activités nécessitant de la vigilance et des compétences ;</w:t>
      </w:r>
    </w:p>
    <w:p w:rsidR="00284EB1" w:rsidRPr="00D333A9" w:rsidRDefault="00284EB1" w:rsidP="00284EB1">
      <w:pPr>
        <w:pStyle w:val="Paragraphedeliste"/>
        <w:numPr>
          <w:ilvl w:val="0"/>
          <w:numId w:val="7"/>
        </w:numPr>
        <w:spacing w:after="160" w:line="256" w:lineRule="auto"/>
        <w:jc w:val="left"/>
        <w:rPr>
          <w:lang w:val="fr-BE"/>
        </w:rPr>
      </w:pPr>
      <w:r w:rsidRPr="00D333A9">
        <w:rPr>
          <w:lang w:val="fr-BE"/>
        </w:rPr>
        <w:t>comme médication par exemple contre le stress, la dépression, l’insomnie</w:t>
      </w:r>
      <w:r w:rsidR="005558CD">
        <w:rPr>
          <w:lang w:val="fr-BE"/>
        </w:rPr>
        <w:t>, etc.</w:t>
      </w:r>
    </w:p>
    <w:p w:rsidR="00284EB1" w:rsidRPr="00D333A9" w:rsidRDefault="00284EB1" w:rsidP="00C135C2">
      <w:pPr>
        <w:rPr>
          <w:lang w:val="fr-BE"/>
        </w:rPr>
      </w:pPr>
      <w:r w:rsidRPr="00D333A9">
        <w:rPr>
          <w:lang w:val="fr-BE"/>
        </w:rPr>
        <w:t>Certains groupes de populations courent plus de risques d’effets négatifs suite à la consommation d</w:t>
      </w:r>
      <w:r w:rsidR="00CB4C44" w:rsidRPr="00D333A9">
        <w:rPr>
          <w:lang w:val="fr-BE"/>
        </w:rPr>
        <w:t>e boissons alcoolisées</w:t>
      </w:r>
      <w:r w:rsidRPr="00D333A9">
        <w:rPr>
          <w:lang w:val="fr-BE"/>
        </w:rPr>
        <w:t xml:space="preserve">. Par conséquent, ils doivent </w:t>
      </w:r>
      <w:r w:rsidR="00E25175" w:rsidRPr="00D333A9">
        <w:rPr>
          <w:lang w:val="fr-BE"/>
        </w:rPr>
        <w:t>prêter une</w:t>
      </w:r>
      <w:r w:rsidRPr="00D333A9">
        <w:rPr>
          <w:lang w:val="fr-BE"/>
        </w:rPr>
        <w:t xml:space="preserve"> attention</w:t>
      </w:r>
      <w:r w:rsidR="00E25175" w:rsidRPr="00D333A9">
        <w:rPr>
          <w:lang w:val="fr-BE"/>
        </w:rPr>
        <w:t xml:space="preserve"> particulière</w:t>
      </w:r>
      <w:r w:rsidRPr="00D333A9">
        <w:rPr>
          <w:lang w:val="fr-BE"/>
        </w:rPr>
        <w:t xml:space="preserve"> à leur consommation et demander conseil à un professionnel de la santé</w:t>
      </w:r>
      <w:r w:rsidR="00E25175" w:rsidRPr="00D333A9">
        <w:rPr>
          <w:lang w:val="fr-BE"/>
        </w:rPr>
        <w:t xml:space="preserve">. Il s’agit notamment des personnes suivantes </w:t>
      </w:r>
      <w:r w:rsidRPr="00D333A9">
        <w:rPr>
          <w:lang w:val="fr-BE"/>
        </w:rPr>
        <w:t xml:space="preserve">: </w:t>
      </w:r>
    </w:p>
    <w:p w:rsidR="00284EB1" w:rsidRPr="00D333A9" w:rsidRDefault="00284EB1" w:rsidP="00284EB1">
      <w:pPr>
        <w:pStyle w:val="Paragraphedeliste"/>
        <w:rPr>
          <w:lang w:val="fr-BE"/>
        </w:rPr>
      </w:pPr>
    </w:p>
    <w:p w:rsidR="00284EB1" w:rsidRPr="00D333A9" w:rsidRDefault="00284EB1" w:rsidP="00284EB1">
      <w:pPr>
        <w:pStyle w:val="Paragraphedeliste"/>
        <w:numPr>
          <w:ilvl w:val="0"/>
          <w:numId w:val="4"/>
        </w:numPr>
        <w:spacing w:after="160" w:line="256" w:lineRule="auto"/>
        <w:jc w:val="left"/>
        <w:rPr>
          <w:lang w:val="fr-BE"/>
        </w:rPr>
      </w:pPr>
      <w:r w:rsidRPr="00D333A9">
        <w:rPr>
          <w:lang w:val="fr-BE"/>
        </w:rPr>
        <w:t xml:space="preserve">les personnes </w:t>
      </w:r>
      <w:r w:rsidR="00185FE4" w:rsidRPr="00D333A9">
        <w:rPr>
          <w:lang w:val="fr-BE"/>
        </w:rPr>
        <w:t>de plus de 65 ans </w:t>
      </w:r>
      <w:r w:rsidRPr="00D333A9">
        <w:rPr>
          <w:lang w:val="fr-BE"/>
        </w:rPr>
        <w:t>;</w:t>
      </w:r>
    </w:p>
    <w:p w:rsidR="00284EB1" w:rsidRPr="00D333A9" w:rsidRDefault="00284EB1" w:rsidP="00284EB1">
      <w:pPr>
        <w:pStyle w:val="Paragraphedeliste"/>
        <w:numPr>
          <w:ilvl w:val="0"/>
          <w:numId w:val="4"/>
        </w:numPr>
        <w:spacing w:after="160" w:line="256" w:lineRule="auto"/>
        <w:jc w:val="left"/>
        <w:rPr>
          <w:lang w:val="fr-BE"/>
        </w:rPr>
      </w:pPr>
      <w:r w:rsidRPr="00D333A9">
        <w:rPr>
          <w:lang w:val="fr-BE"/>
        </w:rPr>
        <w:t>les jeu</w:t>
      </w:r>
      <w:r w:rsidR="00323BAF" w:rsidRPr="00D333A9">
        <w:rPr>
          <w:lang w:val="fr-BE"/>
        </w:rPr>
        <w:t>nes adultes entre 18 et 24 ans (</w:t>
      </w:r>
      <w:r w:rsidRPr="00D333A9">
        <w:rPr>
          <w:lang w:val="fr-BE"/>
        </w:rPr>
        <w:t xml:space="preserve">qui sont les plus enclins à adopter une consommation à risque comme le </w:t>
      </w:r>
      <w:proofErr w:type="spellStart"/>
      <w:r w:rsidRPr="00D333A9">
        <w:rPr>
          <w:i/>
          <w:lang w:val="fr-BE"/>
        </w:rPr>
        <w:t>binge</w:t>
      </w:r>
      <w:proofErr w:type="spellEnd"/>
      <w:r w:rsidRPr="00D333A9">
        <w:rPr>
          <w:i/>
          <w:lang w:val="fr-BE"/>
        </w:rPr>
        <w:t xml:space="preserve"> </w:t>
      </w:r>
      <w:proofErr w:type="spellStart"/>
      <w:r w:rsidRPr="00D333A9">
        <w:rPr>
          <w:i/>
          <w:lang w:val="fr-BE"/>
        </w:rPr>
        <w:t>drinking</w:t>
      </w:r>
      <w:proofErr w:type="spellEnd"/>
      <w:r w:rsidR="00323BAF" w:rsidRPr="00D333A9">
        <w:rPr>
          <w:i/>
          <w:lang w:val="fr-BE"/>
        </w:rPr>
        <w:t>,</w:t>
      </w:r>
      <w:r w:rsidR="00323BAF" w:rsidRPr="00D333A9">
        <w:rPr>
          <w:lang w:val="fr-BE"/>
        </w:rPr>
        <w:t xml:space="preserve"> ce qui </w:t>
      </w:r>
      <w:r w:rsidR="00CB4C44" w:rsidRPr="00D333A9">
        <w:rPr>
          <w:lang w:val="fr-BE"/>
        </w:rPr>
        <w:t>peut avoir</w:t>
      </w:r>
      <w:r w:rsidR="00323BAF" w:rsidRPr="00D333A9">
        <w:rPr>
          <w:lang w:val="fr-BE"/>
        </w:rPr>
        <w:t xml:space="preserve"> des répercussions </w:t>
      </w:r>
      <w:r w:rsidR="00CB4C44" w:rsidRPr="00D333A9">
        <w:rPr>
          <w:lang w:val="fr-BE"/>
        </w:rPr>
        <w:t xml:space="preserve">cognitives </w:t>
      </w:r>
      <w:r w:rsidR="00323BAF" w:rsidRPr="00D333A9">
        <w:rPr>
          <w:lang w:val="fr-BE"/>
        </w:rPr>
        <w:t>durables)</w:t>
      </w:r>
      <w:r w:rsidRPr="00D333A9">
        <w:rPr>
          <w:lang w:val="fr-BE"/>
        </w:rPr>
        <w:t> ;</w:t>
      </w:r>
    </w:p>
    <w:p w:rsidR="00284EB1" w:rsidRPr="00D333A9" w:rsidRDefault="00284EB1" w:rsidP="00284EB1">
      <w:pPr>
        <w:pStyle w:val="Paragraphedeliste"/>
        <w:numPr>
          <w:ilvl w:val="0"/>
          <w:numId w:val="4"/>
        </w:numPr>
        <w:spacing w:after="160" w:line="256" w:lineRule="auto"/>
        <w:jc w:val="left"/>
        <w:rPr>
          <w:lang w:val="fr-BE"/>
        </w:rPr>
      </w:pPr>
      <w:r w:rsidRPr="00D333A9">
        <w:rPr>
          <w:lang w:val="fr-BE"/>
        </w:rPr>
        <w:t>les personnes qui prennent des médicaments </w:t>
      </w:r>
      <w:r w:rsidR="0045727B" w:rsidRPr="00D333A9">
        <w:rPr>
          <w:lang w:val="fr-BE"/>
        </w:rPr>
        <w:t>(particulièrement en cas de médicaments psychotropes)</w:t>
      </w:r>
      <w:r w:rsidR="005558CD">
        <w:rPr>
          <w:lang w:val="fr-BE"/>
        </w:rPr>
        <w:t xml:space="preserve"> </w:t>
      </w:r>
      <w:r w:rsidRPr="00D333A9">
        <w:rPr>
          <w:lang w:val="fr-BE"/>
        </w:rPr>
        <w:t>;</w:t>
      </w:r>
    </w:p>
    <w:p w:rsidR="00284EB1" w:rsidRPr="00D333A9" w:rsidRDefault="00284EB1" w:rsidP="00284EB1">
      <w:pPr>
        <w:pStyle w:val="Paragraphedeliste"/>
        <w:numPr>
          <w:ilvl w:val="0"/>
          <w:numId w:val="4"/>
        </w:numPr>
        <w:spacing w:after="160" w:line="256" w:lineRule="auto"/>
        <w:jc w:val="left"/>
        <w:rPr>
          <w:lang w:val="fr-BE"/>
        </w:rPr>
      </w:pPr>
      <w:r w:rsidRPr="00D333A9">
        <w:rPr>
          <w:lang w:val="fr-BE"/>
        </w:rPr>
        <w:t>les personnes qui consomment d'autres drogues ;</w:t>
      </w:r>
    </w:p>
    <w:p w:rsidR="00284EB1" w:rsidRPr="00D333A9" w:rsidRDefault="00284EB1" w:rsidP="00284EB1">
      <w:pPr>
        <w:pStyle w:val="Paragraphedeliste"/>
        <w:numPr>
          <w:ilvl w:val="0"/>
          <w:numId w:val="4"/>
        </w:numPr>
        <w:spacing w:after="160" w:line="256" w:lineRule="auto"/>
        <w:jc w:val="left"/>
        <w:rPr>
          <w:lang w:val="fr-BE"/>
        </w:rPr>
      </w:pPr>
      <w:r w:rsidRPr="00D333A9">
        <w:rPr>
          <w:lang w:val="fr-BE"/>
        </w:rPr>
        <w:t>les personnes ayant des problèmes de santé ;</w:t>
      </w:r>
    </w:p>
    <w:p w:rsidR="00284EB1" w:rsidRPr="00D333A9" w:rsidRDefault="00284EB1" w:rsidP="00284EB1">
      <w:pPr>
        <w:pStyle w:val="Paragraphedeliste"/>
        <w:numPr>
          <w:ilvl w:val="0"/>
          <w:numId w:val="4"/>
        </w:numPr>
        <w:spacing w:after="160" w:line="256" w:lineRule="auto"/>
        <w:jc w:val="left"/>
        <w:rPr>
          <w:lang w:val="fr-BE"/>
        </w:rPr>
      </w:pPr>
      <w:r w:rsidRPr="00D333A9">
        <w:rPr>
          <w:lang w:val="fr-BE"/>
        </w:rPr>
        <w:t xml:space="preserve">les personnes ayant des problèmes de santé mentale (influence négative de l’alcool sur </w:t>
      </w:r>
      <w:r w:rsidR="00CB4C44" w:rsidRPr="00D333A9">
        <w:rPr>
          <w:lang w:val="fr-BE"/>
        </w:rPr>
        <w:t>la comorbidité psychique</w:t>
      </w:r>
      <w:r w:rsidRPr="00D333A9">
        <w:rPr>
          <w:lang w:val="fr-BE"/>
        </w:rPr>
        <w:t>) ;</w:t>
      </w:r>
    </w:p>
    <w:p w:rsidR="00284EB1" w:rsidRPr="00D333A9" w:rsidRDefault="00284EB1" w:rsidP="00284EB1">
      <w:pPr>
        <w:pStyle w:val="Paragraphedeliste"/>
        <w:numPr>
          <w:ilvl w:val="0"/>
          <w:numId w:val="4"/>
        </w:numPr>
        <w:spacing w:after="160" w:line="256" w:lineRule="auto"/>
        <w:jc w:val="left"/>
        <w:rPr>
          <w:lang w:val="fr-BE"/>
        </w:rPr>
      </w:pPr>
      <w:r w:rsidRPr="00D333A9">
        <w:rPr>
          <w:lang w:val="fr-BE"/>
        </w:rPr>
        <w:t>les personnes ayant un faible poids corporel ;</w:t>
      </w:r>
    </w:p>
    <w:p w:rsidR="00284EB1" w:rsidRPr="00D333A9" w:rsidRDefault="00284EB1" w:rsidP="00284EB1">
      <w:pPr>
        <w:pStyle w:val="Paragraphedeliste"/>
        <w:numPr>
          <w:ilvl w:val="0"/>
          <w:numId w:val="4"/>
        </w:numPr>
        <w:spacing w:after="160" w:line="256" w:lineRule="auto"/>
        <w:jc w:val="left"/>
        <w:rPr>
          <w:lang w:val="fr-BE"/>
        </w:rPr>
      </w:pPr>
      <w:r w:rsidRPr="00D333A9">
        <w:rPr>
          <w:lang w:val="fr-BE"/>
        </w:rPr>
        <w:t xml:space="preserve">les personnes avec </w:t>
      </w:r>
      <w:r w:rsidR="00E25175" w:rsidRPr="00D333A9">
        <w:rPr>
          <w:lang w:val="fr-BE"/>
        </w:rPr>
        <w:t>des antécédents familiaux</w:t>
      </w:r>
      <w:r w:rsidRPr="00D333A9">
        <w:rPr>
          <w:lang w:val="fr-BE"/>
        </w:rPr>
        <w:t xml:space="preserve"> de problèmes liés à l’alcool ;</w:t>
      </w:r>
    </w:p>
    <w:p w:rsidR="00284EB1" w:rsidRPr="00D333A9" w:rsidRDefault="00284EB1" w:rsidP="00284EB1">
      <w:pPr>
        <w:pStyle w:val="Paragraphedeliste"/>
        <w:numPr>
          <w:ilvl w:val="0"/>
          <w:numId w:val="4"/>
        </w:numPr>
        <w:spacing w:after="160" w:line="256" w:lineRule="auto"/>
        <w:jc w:val="left"/>
        <w:rPr>
          <w:lang w:val="fr-BE"/>
        </w:rPr>
      </w:pPr>
      <w:r w:rsidRPr="00D333A9">
        <w:rPr>
          <w:lang w:val="fr-BE"/>
        </w:rPr>
        <w:t>après un by-pass gastro-intestinal.</w:t>
      </w:r>
    </w:p>
    <w:p w:rsidR="00AE62CC" w:rsidRPr="00D333A9" w:rsidRDefault="002940D1" w:rsidP="00AE62CC">
      <w:pPr>
        <w:rPr>
          <w:lang w:val="fr-BE"/>
        </w:rPr>
      </w:pPr>
      <w:r w:rsidRPr="00D333A9">
        <w:rPr>
          <w:bCs/>
          <w:lang w:val="fr-BE"/>
        </w:rPr>
        <w:t>Le CSS recommande également aux</w:t>
      </w:r>
      <w:r w:rsidR="00AE62CC" w:rsidRPr="00D333A9">
        <w:rPr>
          <w:bCs/>
          <w:lang w:val="fr-BE"/>
        </w:rPr>
        <w:t xml:space="preserve"> femmes enceintes, </w:t>
      </w:r>
      <w:r w:rsidRPr="00D333A9">
        <w:rPr>
          <w:bCs/>
          <w:lang w:val="fr-BE"/>
        </w:rPr>
        <w:t xml:space="preserve">à </w:t>
      </w:r>
      <w:r w:rsidR="00AE62CC" w:rsidRPr="00D333A9">
        <w:rPr>
          <w:bCs/>
          <w:lang w:val="fr-BE"/>
        </w:rPr>
        <w:t xml:space="preserve">celles qui souhaitent le devenir et </w:t>
      </w:r>
      <w:r w:rsidRPr="00D333A9">
        <w:rPr>
          <w:bCs/>
          <w:lang w:val="fr-BE"/>
        </w:rPr>
        <w:t>aux</w:t>
      </w:r>
      <w:r w:rsidR="00AE62CC" w:rsidRPr="00D333A9">
        <w:rPr>
          <w:bCs/>
          <w:lang w:val="fr-BE"/>
        </w:rPr>
        <w:t xml:space="preserve"> femmes qui allaitent</w:t>
      </w:r>
      <w:r w:rsidRPr="00D333A9">
        <w:rPr>
          <w:bCs/>
          <w:lang w:val="fr-BE"/>
        </w:rPr>
        <w:t xml:space="preserve"> </w:t>
      </w:r>
      <w:r w:rsidR="00AE62CC" w:rsidRPr="00D333A9">
        <w:rPr>
          <w:bCs/>
          <w:lang w:val="fr-BE"/>
        </w:rPr>
        <w:t>de ne pas boire d’alcool</w:t>
      </w:r>
      <w:r w:rsidRPr="00D333A9">
        <w:rPr>
          <w:bCs/>
          <w:lang w:val="fr-BE"/>
        </w:rPr>
        <w:t xml:space="preserve">. </w:t>
      </w:r>
    </w:p>
    <w:p w:rsidR="00AE62CC" w:rsidRPr="00D333A9" w:rsidRDefault="00AE62CC" w:rsidP="00284EB1">
      <w:pPr>
        <w:pStyle w:val="Default"/>
        <w:jc w:val="both"/>
        <w:rPr>
          <w:rFonts w:ascii="Arial" w:hAnsi="Arial" w:cstheme="minorBidi"/>
          <w:bCs/>
          <w:color w:val="auto"/>
          <w:sz w:val="22"/>
          <w:szCs w:val="22"/>
          <w:lang w:val="fr-BE"/>
        </w:rPr>
      </w:pPr>
    </w:p>
    <w:p w:rsidR="00284EB1" w:rsidRPr="00D333A9" w:rsidRDefault="00B03307" w:rsidP="00284EB1">
      <w:pPr>
        <w:pStyle w:val="Default"/>
        <w:jc w:val="both"/>
        <w:rPr>
          <w:rFonts w:ascii="Arial" w:hAnsi="Arial" w:cs="Arial"/>
          <w:color w:val="auto"/>
          <w:sz w:val="22"/>
          <w:szCs w:val="22"/>
          <w:lang w:val="fr-BE"/>
        </w:rPr>
      </w:pPr>
      <w:r w:rsidRPr="00D333A9">
        <w:rPr>
          <w:rFonts w:ascii="Arial" w:hAnsi="Arial" w:cstheme="minorBidi"/>
          <w:bCs/>
          <w:color w:val="auto"/>
          <w:sz w:val="22"/>
          <w:szCs w:val="22"/>
          <w:lang w:val="fr-BE"/>
        </w:rPr>
        <w:t xml:space="preserve">Enfin, pour limiter les risques pour la santé </w:t>
      </w:r>
      <w:r w:rsidR="00FA7A97" w:rsidRPr="00D333A9">
        <w:rPr>
          <w:rFonts w:ascii="Arial" w:hAnsi="Arial" w:cstheme="minorBidi"/>
          <w:bCs/>
          <w:color w:val="auto"/>
          <w:sz w:val="22"/>
          <w:szCs w:val="22"/>
          <w:lang w:val="fr-BE"/>
        </w:rPr>
        <w:t>de</w:t>
      </w:r>
      <w:r w:rsidR="00E25175" w:rsidRPr="00D333A9">
        <w:rPr>
          <w:rFonts w:ascii="Arial" w:hAnsi="Arial" w:cstheme="minorBidi"/>
          <w:bCs/>
          <w:color w:val="auto"/>
          <w:sz w:val="22"/>
          <w:szCs w:val="22"/>
          <w:lang w:val="fr-BE"/>
        </w:rPr>
        <w:t xml:space="preserve"> la </w:t>
      </w:r>
      <w:r w:rsidR="00A03CF4" w:rsidRPr="00D333A9">
        <w:rPr>
          <w:rFonts w:ascii="Arial" w:hAnsi="Arial" w:cstheme="minorBidi"/>
          <w:bCs/>
          <w:color w:val="auto"/>
          <w:sz w:val="22"/>
          <w:szCs w:val="22"/>
          <w:lang w:val="fr-BE"/>
        </w:rPr>
        <w:t>consommation</w:t>
      </w:r>
      <w:r w:rsidRPr="00D333A9">
        <w:rPr>
          <w:rFonts w:ascii="Arial" w:hAnsi="Arial" w:cstheme="minorBidi"/>
          <w:bCs/>
          <w:color w:val="auto"/>
          <w:sz w:val="22"/>
          <w:szCs w:val="22"/>
          <w:lang w:val="fr-BE"/>
        </w:rPr>
        <w:t xml:space="preserve"> d’alcool dans la population, le CSS r</w:t>
      </w:r>
      <w:r w:rsidR="00144CB6" w:rsidRPr="00D333A9">
        <w:rPr>
          <w:rFonts w:ascii="Arial" w:hAnsi="Arial" w:cstheme="minorBidi"/>
          <w:bCs/>
          <w:color w:val="auto"/>
          <w:sz w:val="22"/>
          <w:szCs w:val="22"/>
          <w:lang w:val="fr-BE"/>
        </w:rPr>
        <w:t>ecommande aux autorités compétentes d’agir selon les axes suivants</w:t>
      </w:r>
      <w:r w:rsidRPr="00D333A9">
        <w:rPr>
          <w:rFonts w:ascii="Arial" w:hAnsi="Arial" w:cstheme="minorBidi"/>
          <w:bCs/>
          <w:color w:val="auto"/>
          <w:sz w:val="22"/>
          <w:szCs w:val="22"/>
          <w:lang w:val="fr-BE"/>
        </w:rPr>
        <w:t xml:space="preserve"> : </w:t>
      </w:r>
    </w:p>
    <w:p w:rsidR="00B03307" w:rsidRPr="00D333A9" w:rsidRDefault="00B03307" w:rsidP="00B03307">
      <w:pPr>
        <w:pStyle w:val="Paragraphedeliste"/>
        <w:autoSpaceDE w:val="0"/>
        <w:autoSpaceDN w:val="0"/>
        <w:adjustRightInd w:val="0"/>
        <w:rPr>
          <w:rFonts w:cs="Arial"/>
          <w:color w:val="000000"/>
          <w:lang w:val="fr-BE"/>
        </w:rPr>
      </w:pPr>
    </w:p>
    <w:p w:rsidR="00284EB1" w:rsidRPr="00D333A9" w:rsidRDefault="005558CD" w:rsidP="00B03307">
      <w:pPr>
        <w:pStyle w:val="Paragraphedeliste"/>
        <w:numPr>
          <w:ilvl w:val="0"/>
          <w:numId w:val="3"/>
        </w:numPr>
        <w:autoSpaceDE w:val="0"/>
        <w:autoSpaceDN w:val="0"/>
        <w:adjustRightInd w:val="0"/>
        <w:rPr>
          <w:rFonts w:cs="Arial"/>
          <w:color w:val="000000"/>
          <w:lang w:val="fr-BE"/>
        </w:rPr>
      </w:pPr>
      <w:r>
        <w:rPr>
          <w:rFonts w:cs="Arial"/>
          <w:color w:val="000000"/>
          <w:lang w:val="fr-BE"/>
        </w:rPr>
        <w:t>a</w:t>
      </w:r>
      <w:r w:rsidR="00284EB1" w:rsidRPr="00D333A9">
        <w:rPr>
          <w:rFonts w:cs="Arial"/>
          <w:color w:val="000000"/>
          <w:lang w:val="fr-BE"/>
        </w:rPr>
        <w:t>dapter la législation sur la vente, l’offre et la distribution, notamment auprès des jeunes de 16 à 18 ans, sur base des recommandations du CSS ;</w:t>
      </w:r>
    </w:p>
    <w:p w:rsidR="00663DFE" w:rsidRPr="00D333A9" w:rsidRDefault="005558CD" w:rsidP="00663DFE">
      <w:pPr>
        <w:pStyle w:val="Paragraphedeliste"/>
        <w:numPr>
          <w:ilvl w:val="0"/>
          <w:numId w:val="3"/>
        </w:numPr>
        <w:autoSpaceDE w:val="0"/>
        <w:autoSpaceDN w:val="0"/>
        <w:adjustRightInd w:val="0"/>
        <w:rPr>
          <w:lang w:val="fr-BE"/>
        </w:rPr>
      </w:pPr>
      <w:r>
        <w:rPr>
          <w:rFonts w:cs="Arial"/>
          <w:color w:val="000000"/>
          <w:lang w:val="fr-BE"/>
        </w:rPr>
        <w:t>r</w:t>
      </w:r>
      <w:r w:rsidR="00284EB1" w:rsidRPr="00D333A9">
        <w:rPr>
          <w:rFonts w:cs="Arial"/>
          <w:color w:val="000000"/>
          <w:lang w:val="fr-BE"/>
        </w:rPr>
        <w:t>enforcer structurellement l’éducation, la prévention et la réduction des risques (</w:t>
      </w:r>
      <w:r w:rsidR="00284EB1" w:rsidRPr="00D333A9">
        <w:rPr>
          <w:rFonts w:cs="Arial"/>
          <w:lang w:val="fr-BE"/>
        </w:rPr>
        <w:t>informations de santé et éducation à la santé via divers canaux)</w:t>
      </w:r>
      <w:r w:rsidR="00B03307" w:rsidRPr="00D333A9">
        <w:rPr>
          <w:rFonts w:cs="Arial"/>
          <w:lang w:val="fr-BE"/>
        </w:rPr>
        <w:t xml:space="preserve"> ; </w:t>
      </w:r>
      <w:r w:rsidR="00284EB1" w:rsidRPr="00D333A9">
        <w:rPr>
          <w:rFonts w:cs="Arial"/>
          <w:lang w:val="fr-BE"/>
        </w:rPr>
        <w:t xml:space="preserve"> </w:t>
      </w:r>
    </w:p>
    <w:p w:rsidR="00284EB1" w:rsidRPr="00D333A9" w:rsidRDefault="005558CD" w:rsidP="00663DFE">
      <w:pPr>
        <w:pStyle w:val="Paragraphedeliste"/>
        <w:numPr>
          <w:ilvl w:val="0"/>
          <w:numId w:val="3"/>
        </w:numPr>
        <w:autoSpaceDE w:val="0"/>
        <w:autoSpaceDN w:val="0"/>
        <w:adjustRightInd w:val="0"/>
        <w:rPr>
          <w:lang w:val="fr-BE"/>
        </w:rPr>
      </w:pPr>
      <w:r>
        <w:rPr>
          <w:lang w:val="fr-BE"/>
        </w:rPr>
        <w:t>n</w:t>
      </w:r>
      <w:r w:rsidR="00663DFE" w:rsidRPr="00D333A9">
        <w:rPr>
          <w:lang w:val="fr-BE"/>
        </w:rPr>
        <w:t>e plus lier les espaces de campagnes de prévention aux espaces de publicité pour l’alcool</w:t>
      </w:r>
      <w:r w:rsidR="000A66A0" w:rsidRPr="00D333A9">
        <w:rPr>
          <w:rStyle w:val="Appelnotedebasdep"/>
          <w:lang w:val="fr-BE"/>
        </w:rPr>
        <w:footnoteReference w:id="2"/>
      </w:r>
      <w:r w:rsidR="00663DFE" w:rsidRPr="00D333A9">
        <w:rPr>
          <w:lang w:val="fr-BE"/>
        </w:rPr>
        <w:t xml:space="preserve"> et fournir des espaces de prév</w:t>
      </w:r>
      <w:r w:rsidR="00140E7B" w:rsidRPr="00D333A9">
        <w:rPr>
          <w:lang w:val="fr-BE"/>
        </w:rPr>
        <w:t>ention garantis et indépendants ;</w:t>
      </w:r>
      <w:r w:rsidR="00663DFE" w:rsidRPr="00D333A9">
        <w:rPr>
          <w:lang w:val="fr-BE"/>
        </w:rPr>
        <w:t xml:space="preserve"> </w:t>
      </w:r>
    </w:p>
    <w:p w:rsidR="00284EB1" w:rsidRPr="00D333A9" w:rsidRDefault="005558CD" w:rsidP="00284EB1">
      <w:pPr>
        <w:pStyle w:val="Paragraphedeliste"/>
        <w:numPr>
          <w:ilvl w:val="0"/>
          <w:numId w:val="3"/>
        </w:numPr>
        <w:autoSpaceDE w:val="0"/>
        <w:autoSpaceDN w:val="0"/>
        <w:adjustRightInd w:val="0"/>
        <w:rPr>
          <w:rFonts w:cs="Arial"/>
          <w:color w:val="000000"/>
          <w:lang w:val="fr-BE"/>
        </w:rPr>
      </w:pPr>
      <w:r>
        <w:rPr>
          <w:rFonts w:cs="Arial"/>
          <w:color w:val="000000"/>
          <w:lang w:val="fr-BE"/>
        </w:rPr>
        <w:t>f</w:t>
      </w:r>
      <w:r w:rsidR="00284EB1" w:rsidRPr="00D333A9">
        <w:rPr>
          <w:rFonts w:cs="Arial"/>
          <w:color w:val="000000"/>
          <w:lang w:val="fr-BE"/>
        </w:rPr>
        <w:t>aciliter l’accès à l’information (groupes d’entraide, sites internet) ;</w:t>
      </w:r>
    </w:p>
    <w:p w:rsidR="00284EB1" w:rsidRPr="00D333A9" w:rsidRDefault="005558CD" w:rsidP="00284EB1">
      <w:pPr>
        <w:pStyle w:val="Default"/>
        <w:numPr>
          <w:ilvl w:val="0"/>
          <w:numId w:val="3"/>
        </w:numPr>
        <w:jc w:val="both"/>
        <w:rPr>
          <w:rFonts w:ascii="Arial" w:hAnsi="Arial" w:cs="Arial"/>
          <w:color w:val="auto"/>
          <w:sz w:val="22"/>
          <w:szCs w:val="22"/>
          <w:lang w:val="fr-BE"/>
        </w:rPr>
      </w:pPr>
      <w:r>
        <w:rPr>
          <w:rFonts w:ascii="Arial" w:hAnsi="Arial" w:cs="Arial"/>
          <w:color w:val="auto"/>
          <w:sz w:val="22"/>
          <w:szCs w:val="22"/>
          <w:lang w:val="fr-BE"/>
        </w:rPr>
        <w:t>s</w:t>
      </w:r>
      <w:r w:rsidR="00284EB1" w:rsidRPr="00D333A9">
        <w:rPr>
          <w:rFonts w:ascii="Arial" w:hAnsi="Arial" w:cs="Arial"/>
          <w:color w:val="auto"/>
          <w:sz w:val="22"/>
          <w:szCs w:val="22"/>
          <w:lang w:val="fr-BE"/>
        </w:rPr>
        <w:t>outenir les personnes qui diminuent leur consommation ou tentent d’y mettre un terme (</w:t>
      </w:r>
      <w:r w:rsidR="00323BAF" w:rsidRPr="00D333A9">
        <w:rPr>
          <w:rFonts w:ascii="Arial" w:hAnsi="Arial" w:cs="Arial"/>
          <w:color w:val="auto"/>
          <w:sz w:val="22"/>
          <w:szCs w:val="22"/>
          <w:lang w:val="fr-BE"/>
        </w:rPr>
        <w:t>détection précoce</w:t>
      </w:r>
      <w:r w:rsidR="00356C8E" w:rsidRPr="00D333A9">
        <w:rPr>
          <w:rStyle w:val="Appelnotedebasdep"/>
          <w:rFonts w:ascii="Arial" w:hAnsi="Arial" w:cs="Arial"/>
          <w:color w:val="auto"/>
          <w:sz w:val="22"/>
          <w:szCs w:val="22"/>
          <w:lang w:val="fr-BE"/>
        </w:rPr>
        <w:footnoteReference w:id="3"/>
      </w:r>
      <w:r w:rsidR="00323BAF" w:rsidRPr="00D333A9">
        <w:rPr>
          <w:rFonts w:ascii="Arial" w:hAnsi="Arial" w:cs="Arial"/>
          <w:color w:val="auto"/>
          <w:sz w:val="22"/>
          <w:szCs w:val="22"/>
          <w:lang w:val="fr-BE"/>
        </w:rPr>
        <w:t xml:space="preserve"> et interventions </w:t>
      </w:r>
      <w:r w:rsidR="00CB4C44" w:rsidRPr="00D333A9">
        <w:rPr>
          <w:rFonts w:ascii="Arial" w:hAnsi="Arial" w:cs="Arial"/>
          <w:color w:val="auto"/>
          <w:sz w:val="22"/>
          <w:szCs w:val="22"/>
          <w:lang w:val="fr-BE"/>
        </w:rPr>
        <w:t xml:space="preserve">brèves </w:t>
      </w:r>
      <w:r w:rsidR="00323BAF" w:rsidRPr="00D333A9">
        <w:rPr>
          <w:rFonts w:ascii="Arial" w:hAnsi="Arial" w:cs="Arial"/>
          <w:color w:val="auto"/>
          <w:sz w:val="22"/>
          <w:szCs w:val="22"/>
          <w:lang w:val="fr-BE"/>
        </w:rPr>
        <w:t xml:space="preserve">en première ligne et offre suffisante de soins spécialisés) </w:t>
      </w:r>
      <w:r w:rsidR="00284EB1" w:rsidRPr="00D333A9">
        <w:rPr>
          <w:rFonts w:ascii="Arial" w:hAnsi="Arial" w:cs="Arial"/>
          <w:color w:val="auto"/>
          <w:sz w:val="22"/>
          <w:szCs w:val="22"/>
          <w:lang w:val="fr-BE"/>
        </w:rPr>
        <w:t>;</w:t>
      </w:r>
    </w:p>
    <w:p w:rsidR="00663DFE" w:rsidRPr="00D333A9" w:rsidRDefault="005558CD" w:rsidP="00663DFE">
      <w:pPr>
        <w:pStyle w:val="Paragraphedeliste"/>
        <w:numPr>
          <w:ilvl w:val="0"/>
          <w:numId w:val="3"/>
        </w:numPr>
        <w:autoSpaceDE w:val="0"/>
        <w:autoSpaceDN w:val="0"/>
        <w:adjustRightInd w:val="0"/>
        <w:rPr>
          <w:rFonts w:cs="Arial"/>
          <w:color w:val="000000"/>
          <w:lang w:val="fr-BE"/>
        </w:rPr>
      </w:pPr>
      <w:r>
        <w:rPr>
          <w:lang w:val="fr-BE"/>
        </w:rPr>
        <w:t>f</w:t>
      </w:r>
      <w:r w:rsidR="00663DFE" w:rsidRPr="00D333A9">
        <w:rPr>
          <w:lang w:val="fr-BE"/>
        </w:rPr>
        <w:t xml:space="preserve">avoriser auprès de la population un auto-monitoring régulier des habitudes de boisson, avec l’aide en particulier du médecin généraliste ; </w:t>
      </w:r>
    </w:p>
    <w:p w:rsidR="00284EB1" w:rsidRPr="004558A2" w:rsidRDefault="005558CD" w:rsidP="000A66A0">
      <w:pPr>
        <w:pStyle w:val="Paragraphedeliste"/>
        <w:numPr>
          <w:ilvl w:val="0"/>
          <w:numId w:val="3"/>
        </w:numPr>
        <w:autoSpaceDE w:val="0"/>
        <w:autoSpaceDN w:val="0"/>
        <w:adjustRightInd w:val="0"/>
        <w:rPr>
          <w:rFonts w:cs="Arial"/>
          <w:color w:val="000000"/>
          <w:lang w:val="fr-BE"/>
        </w:rPr>
      </w:pPr>
      <w:r>
        <w:rPr>
          <w:rFonts w:cs="Arial"/>
          <w:color w:val="000000"/>
          <w:lang w:val="fr-BE"/>
        </w:rPr>
        <w:t>f</w:t>
      </w:r>
      <w:r w:rsidR="000A66A0" w:rsidRPr="00D333A9">
        <w:rPr>
          <w:rFonts w:cs="Arial"/>
          <w:color w:val="000000"/>
          <w:lang w:val="fr-BE"/>
        </w:rPr>
        <w:t xml:space="preserve">inancer la recherche scientifique sur les conséquences de la consommation d'alcool, </w:t>
      </w:r>
      <w:r w:rsidR="0075118A" w:rsidRPr="004558A2">
        <w:rPr>
          <w:rFonts w:cs="Arial"/>
          <w:color w:val="000000"/>
          <w:lang w:val="fr-BE"/>
        </w:rPr>
        <w:t>et l’évaluation d</w:t>
      </w:r>
      <w:r w:rsidR="000A66A0" w:rsidRPr="004558A2">
        <w:rPr>
          <w:rFonts w:cs="Arial"/>
          <w:color w:val="000000"/>
          <w:lang w:val="fr-BE"/>
        </w:rPr>
        <w:t xml:space="preserve">es effets des interventions et </w:t>
      </w:r>
      <w:r w:rsidR="00CB4C44" w:rsidRPr="004558A2">
        <w:rPr>
          <w:rFonts w:cs="Arial"/>
          <w:color w:val="000000"/>
          <w:lang w:val="fr-BE"/>
        </w:rPr>
        <w:t>d</w:t>
      </w:r>
      <w:r w:rsidR="000A66A0" w:rsidRPr="004558A2">
        <w:rPr>
          <w:rFonts w:cs="Arial"/>
          <w:color w:val="000000"/>
          <w:lang w:val="fr-BE"/>
        </w:rPr>
        <w:t>es mesures politiques</w:t>
      </w:r>
      <w:r>
        <w:rPr>
          <w:rFonts w:cs="Arial"/>
          <w:color w:val="000000"/>
          <w:lang w:val="fr-BE"/>
        </w:rPr>
        <w:t xml:space="preserve"> </w:t>
      </w:r>
      <w:r w:rsidR="00284EB1" w:rsidRPr="004558A2">
        <w:rPr>
          <w:rFonts w:cs="Arial"/>
          <w:color w:val="000000"/>
          <w:lang w:val="fr-BE"/>
        </w:rPr>
        <w:t>;</w:t>
      </w:r>
    </w:p>
    <w:p w:rsidR="00284EB1" w:rsidRPr="004558A2" w:rsidRDefault="005558CD" w:rsidP="00284EB1">
      <w:pPr>
        <w:pStyle w:val="Paragraphedeliste"/>
        <w:numPr>
          <w:ilvl w:val="0"/>
          <w:numId w:val="3"/>
        </w:numPr>
        <w:autoSpaceDE w:val="0"/>
        <w:autoSpaceDN w:val="0"/>
        <w:adjustRightInd w:val="0"/>
        <w:rPr>
          <w:rFonts w:cs="Arial"/>
          <w:color w:val="000000"/>
          <w:lang w:val="fr-BE"/>
        </w:rPr>
      </w:pPr>
      <w:r>
        <w:rPr>
          <w:rFonts w:cs="Arial"/>
          <w:color w:val="000000"/>
          <w:lang w:val="fr-BE"/>
        </w:rPr>
        <w:t>i</w:t>
      </w:r>
      <w:r w:rsidR="00284EB1" w:rsidRPr="004558A2">
        <w:rPr>
          <w:rFonts w:cs="Arial"/>
          <w:color w:val="000000"/>
          <w:lang w:val="fr-BE"/>
        </w:rPr>
        <w:t xml:space="preserve">nterdire les collaborations entre les travailleurs de santé, les autorités publiques </w:t>
      </w:r>
      <w:r w:rsidR="00323BAF" w:rsidRPr="004558A2">
        <w:rPr>
          <w:rFonts w:cs="Arial"/>
          <w:color w:val="000000"/>
          <w:lang w:val="fr-BE"/>
        </w:rPr>
        <w:t xml:space="preserve">d’une part </w:t>
      </w:r>
      <w:r w:rsidR="00284EB1" w:rsidRPr="004558A2">
        <w:rPr>
          <w:rFonts w:cs="Arial"/>
          <w:color w:val="000000"/>
          <w:lang w:val="fr-BE"/>
        </w:rPr>
        <w:t>et les producteurs et distributeurs de boissons alcoolisées</w:t>
      </w:r>
      <w:r w:rsidR="00323BAF" w:rsidRPr="004558A2">
        <w:rPr>
          <w:rFonts w:cs="Arial"/>
          <w:color w:val="000000"/>
          <w:lang w:val="fr-BE"/>
        </w:rPr>
        <w:t xml:space="preserve"> d’autre part</w:t>
      </w:r>
      <w:r w:rsidR="00284EB1" w:rsidRPr="004558A2">
        <w:rPr>
          <w:rFonts w:cs="Arial"/>
          <w:color w:val="000000"/>
          <w:lang w:val="fr-BE"/>
        </w:rPr>
        <w:t> ;</w:t>
      </w:r>
    </w:p>
    <w:p w:rsidR="001F51B0" w:rsidRPr="001F51B0" w:rsidRDefault="005558CD" w:rsidP="00B03307">
      <w:pPr>
        <w:pStyle w:val="Paragraphedeliste"/>
        <w:numPr>
          <w:ilvl w:val="0"/>
          <w:numId w:val="3"/>
        </w:numPr>
        <w:autoSpaceDE w:val="0"/>
        <w:autoSpaceDN w:val="0"/>
        <w:adjustRightInd w:val="0"/>
        <w:rPr>
          <w:lang w:val="fr-BE"/>
        </w:rPr>
      </w:pPr>
      <w:r>
        <w:rPr>
          <w:rFonts w:cs="Arial"/>
          <w:color w:val="000000"/>
          <w:lang w:val="fr-BE"/>
        </w:rPr>
        <w:t>r</w:t>
      </w:r>
      <w:r w:rsidR="00284EB1" w:rsidRPr="004558A2">
        <w:rPr>
          <w:rFonts w:cs="Arial"/>
          <w:color w:val="000000"/>
          <w:lang w:val="fr-BE"/>
        </w:rPr>
        <w:t xml:space="preserve">econnaître la fonction et titre d’ « alcoologue » diplômé, sur base des formations </w:t>
      </w:r>
      <w:r w:rsidR="001771BF" w:rsidRPr="004558A2">
        <w:rPr>
          <w:lang w:val="fr-BE"/>
        </w:rPr>
        <w:t>existantes (</w:t>
      </w:r>
      <w:r w:rsidR="002E4B21" w:rsidRPr="004558A2">
        <w:rPr>
          <w:lang w:val="fr-BE"/>
        </w:rPr>
        <w:t xml:space="preserve">en Fédération Wallonie-Bruxelles : </w:t>
      </w:r>
      <w:r w:rsidR="001771BF" w:rsidRPr="004558A2">
        <w:rPr>
          <w:lang w:val="fr-BE"/>
        </w:rPr>
        <w:t xml:space="preserve">certificat interuniversitaire organisé par  la SSMG, l'ULB, l'UCL et </w:t>
      </w:r>
      <w:proofErr w:type="spellStart"/>
      <w:r w:rsidR="001771BF" w:rsidRPr="004558A2">
        <w:rPr>
          <w:lang w:val="fr-BE"/>
        </w:rPr>
        <w:t>l'ULg</w:t>
      </w:r>
      <w:proofErr w:type="spellEnd"/>
      <w:r w:rsidR="001771BF" w:rsidRPr="004558A2">
        <w:rPr>
          <w:lang w:val="fr-BE"/>
        </w:rPr>
        <w:t>)</w:t>
      </w:r>
      <w:r w:rsidR="00356C8E" w:rsidRPr="004558A2">
        <w:rPr>
          <w:lang w:val="fr-BE"/>
        </w:rPr>
        <w:t xml:space="preserve"> et</w:t>
      </w:r>
      <w:r w:rsidR="00356C8E" w:rsidRPr="004558A2">
        <w:rPr>
          <w:rFonts w:cs="Arial"/>
          <w:color w:val="000000"/>
          <w:lang w:val="fr-BE"/>
        </w:rPr>
        <w:t xml:space="preserve"> </w:t>
      </w:r>
      <w:r w:rsidR="00356C8E" w:rsidRPr="004558A2">
        <w:rPr>
          <w:rFonts w:cs="Arial"/>
          <w:lang w:val="fr-BE"/>
        </w:rPr>
        <w:t>assurer une formation de base</w:t>
      </w:r>
      <w:r w:rsidR="0075118A" w:rsidRPr="004558A2">
        <w:rPr>
          <w:rFonts w:cs="Arial"/>
          <w:lang w:val="fr-BE"/>
        </w:rPr>
        <w:t xml:space="preserve"> et continue</w:t>
      </w:r>
      <w:r w:rsidR="00356C8E" w:rsidRPr="00D333A9">
        <w:rPr>
          <w:rFonts w:cs="Arial"/>
          <w:lang w:val="fr-BE"/>
        </w:rPr>
        <w:t xml:space="preserve"> en alcoologie suffisante pour tous les médecins</w:t>
      </w:r>
      <w:r w:rsidR="0064779A">
        <w:rPr>
          <w:rFonts w:cs="Arial"/>
          <w:lang w:val="fr-BE"/>
        </w:rPr>
        <w:t xml:space="preserve"> et autres professions de santé</w:t>
      </w:r>
      <w:r w:rsidR="001F51B0">
        <w:rPr>
          <w:rFonts w:cs="Arial"/>
          <w:lang w:val="fr-BE"/>
        </w:rPr>
        <w:t xml:space="preserve"> ; </w:t>
      </w:r>
    </w:p>
    <w:p w:rsidR="00284EB1" w:rsidRPr="00AC5103" w:rsidRDefault="005558CD" w:rsidP="00B03307">
      <w:pPr>
        <w:pStyle w:val="Paragraphedeliste"/>
        <w:numPr>
          <w:ilvl w:val="0"/>
          <w:numId w:val="3"/>
        </w:numPr>
        <w:autoSpaceDE w:val="0"/>
        <w:autoSpaceDN w:val="0"/>
        <w:adjustRightInd w:val="0"/>
        <w:rPr>
          <w:rFonts w:cs="Arial"/>
          <w:color w:val="000000"/>
          <w:lang w:val="fr-BE"/>
        </w:rPr>
      </w:pPr>
      <w:r>
        <w:rPr>
          <w:rFonts w:cs="Arial"/>
          <w:color w:val="000000"/>
          <w:lang w:val="fr-BE"/>
        </w:rPr>
        <w:t>s</w:t>
      </w:r>
      <w:r w:rsidR="001F51B0" w:rsidRPr="00AC5103">
        <w:rPr>
          <w:rFonts w:cs="Arial"/>
          <w:color w:val="000000"/>
          <w:lang w:val="fr-BE"/>
        </w:rPr>
        <w:t>ensibiliser à la loi du 14/11/1939 qui interdit notamment de servir des boissons enivrantes à une personne manifestement ivre</w:t>
      </w:r>
      <w:r w:rsidR="00F97649" w:rsidRPr="00AC5103">
        <w:rPr>
          <w:rFonts w:cs="Arial"/>
          <w:color w:val="000000"/>
          <w:lang w:val="fr-BE"/>
        </w:rPr>
        <w:t>.</w:t>
      </w:r>
      <w:r w:rsidR="00356C8E" w:rsidRPr="00AC5103">
        <w:rPr>
          <w:rFonts w:cs="Arial"/>
          <w:color w:val="000000"/>
          <w:lang w:val="fr-BE"/>
        </w:rPr>
        <w:t>                            </w:t>
      </w:r>
    </w:p>
    <w:p w:rsidR="00284EB1" w:rsidRPr="00D333A9" w:rsidRDefault="00284EB1" w:rsidP="00284EB1">
      <w:pPr>
        <w:autoSpaceDE w:val="0"/>
        <w:autoSpaceDN w:val="0"/>
        <w:adjustRightInd w:val="0"/>
        <w:rPr>
          <w:rFonts w:ascii="Verdana" w:hAnsi="Verdana" w:cs="Verdana"/>
          <w:color w:val="FFFFFF"/>
          <w:sz w:val="14"/>
          <w:szCs w:val="14"/>
          <w:lang w:val="fr-FR"/>
        </w:rPr>
      </w:pPr>
    </w:p>
    <w:p w:rsidR="00284EB1" w:rsidRPr="00D333A9" w:rsidRDefault="00284EB1" w:rsidP="00144CB6">
      <w:pPr>
        <w:pStyle w:val="Default"/>
        <w:pBdr>
          <w:top w:val="single" w:sz="4" w:space="1" w:color="auto"/>
          <w:left w:val="single" w:sz="4" w:space="4" w:color="auto"/>
          <w:bottom w:val="single" w:sz="4" w:space="1" w:color="auto"/>
          <w:right w:val="single" w:sz="4" w:space="4" w:color="auto"/>
        </w:pBdr>
        <w:jc w:val="both"/>
        <w:rPr>
          <w:rFonts w:ascii="Arial" w:hAnsi="Arial" w:cs="Arial"/>
          <w:b/>
          <w:color w:val="auto"/>
          <w:sz w:val="22"/>
          <w:szCs w:val="22"/>
          <w:lang w:val="fr-BE"/>
        </w:rPr>
      </w:pPr>
      <w:r w:rsidRPr="00D333A9">
        <w:rPr>
          <w:rFonts w:ascii="Arial" w:hAnsi="Arial" w:cs="Arial"/>
          <w:b/>
          <w:color w:val="auto"/>
          <w:sz w:val="22"/>
          <w:szCs w:val="22"/>
          <w:lang w:val="fr-BE"/>
        </w:rPr>
        <w:t xml:space="preserve">Pour un véritable effet sur la population, ces mesures doivent être combinées, continues, maintenues à long terme et s’adresser à l’ensemble de la population.  </w:t>
      </w:r>
      <w:r w:rsidR="00140E7B" w:rsidRPr="00D333A9">
        <w:rPr>
          <w:rFonts w:ascii="Arial" w:hAnsi="Arial" w:cs="Arial"/>
          <w:b/>
          <w:color w:val="auto"/>
          <w:sz w:val="22"/>
          <w:szCs w:val="22"/>
          <w:lang w:val="fr-BE"/>
        </w:rPr>
        <w:t xml:space="preserve">Une coordination </w:t>
      </w:r>
      <w:r w:rsidR="00144CB6" w:rsidRPr="00D333A9">
        <w:rPr>
          <w:rFonts w:ascii="Arial" w:hAnsi="Arial" w:cs="Arial"/>
          <w:b/>
          <w:color w:val="auto"/>
          <w:sz w:val="22"/>
          <w:szCs w:val="22"/>
          <w:lang w:val="fr-BE"/>
        </w:rPr>
        <w:t xml:space="preserve">nationale s’avère donc </w:t>
      </w:r>
      <w:r w:rsidR="003116B8" w:rsidRPr="00D333A9">
        <w:rPr>
          <w:rFonts w:ascii="Arial" w:hAnsi="Arial" w:cs="Arial"/>
          <w:b/>
          <w:color w:val="auto"/>
          <w:sz w:val="22"/>
          <w:szCs w:val="22"/>
          <w:lang w:val="fr-BE"/>
        </w:rPr>
        <w:t>indispensable</w:t>
      </w:r>
      <w:r w:rsidR="00144CB6" w:rsidRPr="00D333A9">
        <w:rPr>
          <w:rFonts w:ascii="Arial" w:hAnsi="Arial" w:cs="Arial"/>
          <w:b/>
          <w:color w:val="auto"/>
          <w:sz w:val="22"/>
          <w:szCs w:val="22"/>
          <w:lang w:val="fr-BE"/>
        </w:rPr>
        <w:t>.</w:t>
      </w:r>
    </w:p>
    <w:p w:rsidR="00C135C2" w:rsidRPr="00D333A9" w:rsidRDefault="00C135C2" w:rsidP="00284EB1">
      <w:pPr>
        <w:pStyle w:val="Default"/>
        <w:jc w:val="both"/>
        <w:rPr>
          <w:rFonts w:ascii="Arial" w:hAnsi="Arial" w:cs="Arial"/>
          <w:b/>
          <w:color w:val="auto"/>
          <w:sz w:val="22"/>
          <w:szCs w:val="22"/>
          <w:lang w:val="fr-BE"/>
        </w:rPr>
      </w:pPr>
    </w:p>
    <w:p w:rsidR="00C135C2" w:rsidRPr="00D333A9" w:rsidRDefault="00C135C2" w:rsidP="00C135C2">
      <w:pPr>
        <w:rPr>
          <w:lang w:val="fr-BE"/>
        </w:rPr>
      </w:pPr>
      <w:r w:rsidRPr="00D333A9">
        <w:rPr>
          <w:lang w:val="fr-BE"/>
        </w:rPr>
        <w:t>Pour obtenir plus d’informations concernant la</w:t>
      </w:r>
      <w:r w:rsidR="00144CB6" w:rsidRPr="00D333A9">
        <w:rPr>
          <w:lang w:val="fr-BE"/>
        </w:rPr>
        <w:t xml:space="preserve"> consommation d’alcool, il est </w:t>
      </w:r>
      <w:r w:rsidRPr="00D333A9">
        <w:rPr>
          <w:lang w:val="fr-BE"/>
        </w:rPr>
        <w:t xml:space="preserve">également </w:t>
      </w:r>
      <w:r w:rsidR="00144CB6" w:rsidRPr="00D333A9">
        <w:rPr>
          <w:lang w:val="fr-BE"/>
        </w:rPr>
        <w:t xml:space="preserve">indiqué de </w:t>
      </w:r>
      <w:r w:rsidRPr="00D333A9">
        <w:rPr>
          <w:lang w:val="fr-BE"/>
        </w:rPr>
        <w:t xml:space="preserve">se référer aux sites </w:t>
      </w:r>
      <w:hyperlink r:id="rId9" w:history="1">
        <w:r w:rsidRPr="00D333A9">
          <w:rPr>
            <w:rStyle w:val="Lienhypertexte"/>
            <w:lang w:val="fr-BE"/>
          </w:rPr>
          <w:t>www.infordrogues.be</w:t>
        </w:r>
      </w:hyperlink>
      <w:r w:rsidR="00C371EC" w:rsidRPr="00D333A9">
        <w:rPr>
          <w:lang w:val="fr-BE"/>
        </w:rPr>
        <w:t>,</w:t>
      </w:r>
      <w:r w:rsidRPr="00D333A9">
        <w:rPr>
          <w:lang w:val="fr-BE"/>
        </w:rPr>
        <w:t xml:space="preserve"> </w:t>
      </w:r>
      <w:hyperlink r:id="rId10" w:history="1">
        <w:r w:rsidRPr="00D333A9">
          <w:rPr>
            <w:rStyle w:val="Lienhypertexte"/>
            <w:lang w:val="fr-BE"/>
          </w:rPr>
          <w:t>www.jeunesetalcool.be</w:t>
        </w:r>
      </w:hyperlink>
      <w:r w:rsidRPr="00D333A9">
        <w:rPr>
          <w:lang w:val="fr-BE"/>
        </w:rPr>
        <w:t xml:space="preserve">, </w:t>
      </w:r>
      <w:hyperlink r:id="rId11" w:history="1">
        <w:r w:rsidRPr="00D333A9">
          <w:rPr>
            <w:rStyle w:val="Lienhypertexte"/>
            <w:lang w:val="fr-BE"/>
          </w:rPr>
          <w:t>www.aide-alcool.be</w:t>
        </w:r>
      </w:hyperlink>
      <w:r w:rsidR="003D561C">
        <w:rPr>
          <w:rStyle w:val="Lienhypertexte"/>
          <w:u w:val="none"/>
          <w:lang w:val="fr-BE"/>
        </w:rPr>
        <w:t xml:space="preserve">, </w:t>
      </w:r>
      <w:hyperlink r:id="rId12" w:history="1">
        <w:r w:rsidR="00B301AF" w:rsidRPr="00D333A9">
          <w:rPr>
            <w:rStyle w:val="Lienhypertexte"/>
            <w:lang w:val="fr-BE"/>
          </w:rPr>
          <w:t>www.reseaualcool.be</w:t>
        </w:r>
      </w:hyperlink>
      <w:r w:rsidR="00C371EC" w:rsidRPr="00D333A9">
        <w:rPr>
          <w:lang w:val="fr-BE"/>
        </w:rPr>
        <w:t xml:space="preserve">. </w:t>
      </w:r>
      <w:r w:rsidRPr="00D333A9">
        <w:rPr>
          <w:lang w:val="fr-BE"/>
        </w:rPr>
        <w:t xml:space="preserve"> </w:t>
      </w:r>
    </w:p>
    <w:p w:rsidR="00B07709" w:rsidRPr="00D333A9" w:rsidRDefault="00B07709" w:rsidP="00B07709">
      <w:pPr>
        <w:rPr>
          <w:lang w:val="fr-BE"/>
        </w:rPr>
      </w:pPr>
    </w:p>
    <w:p w:rsidR="00284EB1" w:rsidRPr="00D333A9" w:rsidRDefault="00284EB1" w:rsidP="00284EB1">
      <w:pPr>
        <w:autoSpaceDE w:val="0"/>
        <w:autoSpaceDN w:val="0"/>
        <w:adjustRightInd w:val="0"/>
        <w:rPr>
          <w:rFonts w:cs="Arial"/>
          <w:bCs/>
          <w:szCs w:val="24"/>
          <w:u w:val="single"/>
          <w:lang w:val="fr-BE"/>
        </w:rPr>
      </w:pPr>
      <w:r w:rsidRPr="00D333A9">
        <w:rPr>
          <w:rFonts w:cs="Arial"/>
          <w:bCs/>
          <w:szCs w:val="24"/>
          <w:u w:val="single"/>
          <w:lang w:val="fr-BE"/>
        </w:rPr>
        <w:t xml:space="preserve">Mots clés et </w:t>
      </w:r>
      <w:proofErr w:type="spellStart"/>
      <w:r w:rsidRPr="00D333A9">
        <w:rPr>
          <w:rFonts w:cs="Arial"/>
          <w:bCs/>
          <w:szCs w:val="24"/>
          <w:u w:val="single"/>
          <w:lang w:val="fr-BE"/>
        </w:rPr>
        <w:t>MeSH</w:t>
      </w:r>
      <w:proofErr w:type="spellEnd"/>
      <w:r w:rsidRPr="00D333A9">
        <w:rPr>
          <w:rFonts w:cs="Arial"/>
          <w:bCs/>
          <w:szCs w:val="24"/>
          <w:u w:val="single"/>
          <w:lang w:val="fr-BE"/>
        </w:rPr>
        <w:t xml:space="preserve"> </w:t>
      </w:r>
      <w:proofErr w:type="spellStart"/>
      <w:r w:rsidRPr="00D333A9">
        <w:rPr>
          <w:rFonts w:cs="Arial"/>
          <w:bCs/>
          <w:i/>
          <w:szCs w:val="24"/>
          <w:u w:val="single"/>
          <w:lang w:val="fr-BE"/>
        </w:rPr>
        <w:t>descriptor</w:t>
      </w:r>
      <w:proofErr w:type="spellEnd"/>
      <w:r w:rsidRPr="00D333A9">
        <w:rPr>
          <w:rFonts w:cs="Arial"/>
          <w:bCs/>
          <w:i/>
          <w:szCs w:val="24"/>
          <w:u w:val="single"/>
          <w:lang w:val="fr-BE"/>
        </w:rPr>
        <w:t xml:space="preserve"> </w:t>
      </w:r>
      <w:proofErr w:type="spellStart"/>
      <w:r w:rsidRPr="00D333A9">
        <w:rPr>
          <w:rFonts w:cs="Arial"/>
          <w:bCs/>
          <w:i/>
          <w:szCs w:val="24"/>
          <w:u w:val="single"/>
          <w:lang w:val="fr-BE"/>
        </w:rPr>
        <w:t>terms</w:t>
      </w:r>
      <w:proofErr w:type="spellEnd"/>
      <w:r w:rsidRPr="00D333A9">
        <w:rPr>
          <w:rFonts w:cs="Arial"/>
          <w:bCs/>
          <w:szCs w:val="24"/>
          <w:u w:val="single"/>
          <w:vertAlign w:val="superscript"/>
          <w:lang w:val="fr-BE"/>
        </w:rPr>
        <w:footnoteReference w:id="4"/>
      </w:r>
    </w:p>
    <w:tbl>
      <w:tblPr>
        <w:tblpPr w:leftFromText="180" w:rightFromText="180" w:vertAnchor="text" w:horzAnchor="margin" w:tblpXSpec="center" w:tblpY="219"/>
        <w:tblW w:w="98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79"/>
        <w:gridCol w:w="245"/>
        <w:gridCol w:w="1696"/>
        <w:gridCol w:w="2370"/>
        <w:gridCol w:w="1764"/>
        <w:gridCol w:w="1936"/>
      </w:tblGrid>
      <w:tr w:rsidR="000F3C6A" w:rsidRPr="00D333A9" w:rsidTr="0075118A">
        <w:tc>
          <w:tcPr>
            <w:tcW w:w="1879" w:type="dxa"/>
            <w:tcBorders>
              <w:top w:val="single" w:sz="6" w:space="0" w:color="auto"/>
              <w:left w:val="single" w:sz="6" w:space="0" w:color="auto"/>
              <w:bottom w:val="single" w:sz="6" w:space="0" w:color="auto"/>
              <w:right w:val="single" w:sz="6" w:space="0" w:color="auto"/>
            </w:tcBorders>
            <w:shd w:val="clear" w:color="auto" w:fill="auto"/>
          </w:tcPr>
          <w:p w:rsidR="000F3C6A" w:rsidRPr="00D333A9" w:rsidRDefault="000F3C6A" w:rsidP="00DE749B">
            <w:pPr>
              <w:autoSpaceDE w:val="0"/>
              <w:autoSpaceDN w:val="0"/>
              <w:adjustRightInd w:val="0"/>
              <w:rPr>
                <w:rFonts w:cs="Arial"/>
                <w:b/>
                <w:bCs/>
                <w:lang w:val="fr-BE"/>
              </w:rPr>
            </w:pPr>
            <w:proofErr w:type="spellStart"/>
            <w:r w:rsidRPr="00D333A9">
              <w:rPr>
                <w:rFonts w:cs="Arial"/>
                <w:b/>
                <w:bCs/>
                <w:lang w:val="fr-BE"/>
              </w:rPr>
              <w:t>MeSH</w:t>
            </w:r>
            <w:proofErr w:type="spellEnd"/>
            <w:r w:rsidRPr="00D333A9">
              <w:rPr>
                <w:rFonts w:cs="Arial"/>
                <w:b/>
                <w:bCs/>
                <w:lang w:val="fr-BE"/>
              </w:rPr>
              <w:t xml:space="preserve"> </w:t>
            </w:r>
            <w:proofErr w:type="spellStart"/>
            <w:r w:rsidRPr="00D333A9">
              <w:rPr>
                <w:rFonts w:cs="Arial"/>
                <w:b/>
                <w:bCs/>
                <w:lang w:val="fr-BE"/>
              </w:rPr>
              <w:t>terms</w:t>
            </w:r>
            <w:proofErr w:type="spellEnd"/>
            <w:r w:rsidRPr="00D333A9">
              <w:rPr>
                <w:rFonts w:cs="Arial"/>
                <w:b/>
                <w:bCs/>
                <w:lang w:val="fr-BE"/>
              </w:rPr>
              <w:t>*</w:t>
            </w:r>
          </w:p>
        </w:tc>
        <w:tc>
          <w:tcPr>
            <w:tcW w:w="245" w:type="dxa"/>
            <w:tcBorders>
              <w:top w:val="nil"/>
              <w:left w:val="single" w:sz="6" w:space="0" w:color="auto"/>
              <w:bottom w:val="nil"/>
              <w:right w:val="single" w:sz="6" w:space="0" w:color="auto"/>
            </w:tcBorders>
            <w:shd w:val="clear" w:color="auto" w:fill="auto"/>
          </w:tcPr>
          <w:p w:rsidR="000F3C6A" w:rsidRPr="00D333A9" w:rsidRDefault="000F3C6A" w:rsidP="00DE749B">
            <w:pPr>
              <w:autoSpaceDE w:val="0"/>
              <w:autoSpaceDN w:val="0"/>
              <w:adjustRightInd w:val="0"/>
              <w:rPr>
                <w:rFonts w:cs="Arial"/>
                <w:b/>
                <w:bCs/>
                <w:lang w:val="fr-BE"/>
              </w:rPr>
            </w:pPr>
          </w:p>
        </w:tc>
        <w:tc>
          <w:tcPr>
            <w:tcW w:w="1696" w:type="dxa"/>
            <w:tcBorders>
              <w:top w:val="single" w:sz="6" w:space="0" w:color="auto"/>
              <w:left w:val="single" w:sz="6" w:space="0" w:color="auto"/>
              <w:bottom w:val="single" w:sz="6" w:space="0" w:color="auto"/>
              <w:right w:val="single" w:sz="6" w:space="0" w:color="auto"/>
            </w:tcBorders>
            <w:shd w:val="clear" w:color="auto" w:fill="auto"/>
          </w:tcPr>
          <w:p w:rsidR="000F3C6A" w:rsidRPr="00D333A9" w:rsidRDefault="000F3C6A" w:rsidP="00DE749B">
            <w:pPr>
              <w:autoSpaceDE w:val="0"/>
              <w:autoSpaceDN w:val="0"/>
              <w:adjustRightInd w:val="0"/>
              <w:rPr>
                <w:rFonts w:cs="Arial"/>
                <w:b/>
                <w:bCs/>
                <w:lang w:val="fr-BE"/>
              </w:rPr>
            </w:pPr>
            <w:r w:rsidRPr="00D333A9">
              <w:rPr>
                <w:rFonts w:cs="Arial"/>
                <w:b/>
                <w:bCs/>
                <w:lang w:val="fr-BE"/>
              </w:rPr>
              <w:t>Keywords</w:t>
            </w:r>
          </w:p>
        </w:tc>
        <w:tc>
          <w:tcPr>
            <w:tcW w:w="2370" w:type="dxa"/>
            <w:tcBorders>
              <w:top w:val="single" w:sz="6" w:space="0" w:color="auto"/>
              <w:left w:val="single" w:sz="6" w:space="0" w:color="auto"/>
              <w:bottom w:val="single" w:sz="6" w:space="0" w:color="auto"/>
              <w:right w:val="single" w:sz="6" w:space="0" w:color="auto"/>
            </w:tcBorders>
            <w:shd w:val="clear" w:color="auto" w:fill="auto"/>
          </w:tcPr>
          <w:p w:rsidR="000F3C6A" w:rsidRPr="00D333A9" w:rsidRDefault="000F3C6A" w:rsidP="00DE749B">
            <w:pPr>
              <w:autoSpaceDE w:val="0"/>
              <w:autoSpaceDN w:val="0"/>
              <w:adjustRightInd w:val="0"/>
              <w:rPr>
                <w:rFonts w:cs="Arial"/>
                <w:b/>
                <w:bCs/>
                <w:lang w:val="fr-BE"/>
              </w:rPr>
            </w:pPr>
            <w:proofErr w:type="spellStart"/>
            <w:r w:rsidRPr="00D333A9">
              <w:rPr>
                <w:rFonts w:cs="Arial"/>
                <w:b/>
                <w:bCs/>
                <w:lang w:val="fr-BE"/>
              </w:rPr>
              <w:t>Sleutelwoorden</w:t>
            </w:r>
            <w:proofErr w:type="spellEnd"/>
          </w:p>
        </w:tc>
        <w:tc>
          <w:tcPr>
            <w:tcW w:w="1764" w:type="dxa"/>
            <w:tcBorders>
              <w:top w:val="single" w:sz="6" w:space="0" w:color="auto"/>
              <w:left w:val="single" w:sz="6" w:space="0" w:color="auto"/>
              <w:bottom w:val="single" w:sz="6" w:space="0" w:color="auto"/>
              <w:right w:val="single" w:sz="6" w:space="0" w:color="auto"/>
            </w:tcBorders>
            <w:shd w:val="clear" w:color="auto" w:fill="auto"/>
          </w:tcPr>
          <w:p w:rsidR="000F3C6A" w:rsidRPr="00D333A9" w:rsidRDefault="000F3C6A" w:rsidP="00DE749B">
            <w:pPr>
              <w:autoSpaceDE w:val="0"/>
              <w:autoSpaceDN w:val="0"/>
              <w:adjustRightInd w:val="0"/>
              <w:rPr>
                <w:rFonts w:cs="Arial"/>
                <w:b/>
                <w:bCs/>
                <w:lang w:val="fr-BE"/>
              </w:rPr>
            </w:pPr>
            <w:r w:rsidRPr="00D333A9">
              <w:rPr>
                <w:rFonts w:cs="Arial"/>
                <w:b/>
                <w:bCs/>
                <w:lang w:val="fr-BE"/>
              </w:rPr>
              <w:t>Mots clés</w:t>
            </w:r>
          </w:p>
        </w:tc>
        <w:tc>
          <w:tcPr>
            <w:tcW w:w="1936" w:type="dxa"/>
            <w:tcBorders>
              <w:top w:val="single" w:sz="6" w:space="0" w:color="auto"/>
              <w:left w:val="single" w:sz="6" w:space="0" w:color="auto"/>
              <w:bottom w:val="single" w:sz="6" w:space="0" w:color="auto"/>
              <w:right w:val="single" w:sz="6" w:space="0" w:color="auto"/>
            </w:tcBorders>
            <w:shd w:val="clear" w:color="auto" w:fill="auto"/>
          </w:tcPr>
          <w:p w:rsidR="000F3C6A" w:rsidRPr="00D333A9" w:rsidRDefault="000F3C6A" w:rsidP="00DE749B">
            <w:pPr>
              <w:autoSpaceDE w:val="0"/>
              <w:autoSpaceDN w:val="0"/>
              <w:adjustRightInd w:val="0"/>
              <w:rPr>
                <w:rFonts w:cs="Arial"/>
                <w:b/>
                <w:bCs/>
                <w:lang w:val="fr-BE"/>
              </w:rPr>
            </w:pPr>
            <w:proofErr w:type="spellStart"/>
            <w:r w:rsidRPr="00D333A9">
              <w:rPr>
                <w:rFonts w:cs="Arial"/>
                <w:b/>
                <w:bCs/>
                <w:lang w:val="fr-BE"/>
              </w:rPr>
              <w:t>Schlüsselwörter</w:t>
            </w:r>
            <w:proofErr w:type="spellEnd"/>
          </w:p>
        </w:tc>
      </w:tr>
      <w:tr w:rsidR="001E1153" w:rsidRPr="00D333A9" w:rsidTr="0075118A">
        <w:tc>
          <w:tcPr>
            <w:tcW w:w="1879" w:type="dxa"/>
            <w:tcBorders>
              <w:top w:val="single" w:sz="6" w:space="0" w:color="auto"/>
              <w:left w:val="single" w:sz="6" w:space="0" w:color="auto"/>
              <w:right w:val="single" w:sz="6" w:space="0" w:color="auto"/>
            </w:tcBorders>
          </w:tcPr>
          <w:p w:rsidR="001E1153" w:rsidRPr="00D333A9" w:rsidRDefault="001E1153" w:rsidP="001E1153">
            <w:pPr>
              <w:numPr>
                <w:ilvl w:val="0"/>
                <w:numId w:val="36"/>
              </w:numPr>
              <w:shd w:val="clear" w:color="auto" w:fill="FFFFFF"/>
              <w:spacing w:before="100" w:beforeAutospacing="1" w:after="24"/>
              <w:ind w:left="0"/>
              <w:jc w:val="left"/>
              <w:rPr>
                <w:rFonts w:cs="Arial"/>
                <w:lang w:val="nl-BE"/>
              </w:rPr>
            </w:pPr>
            <w:r w:rsidRPr="00D333A9">
              <w:rPr>
                <w:rFonts w:cs="Arial"/>
                <w:lang w:val="nl-BE"/>
              </w:rPr>
              <w:t>Alcohol Drinking</w:t>
            </w:r>
          </w:p>
        </w:tc>
        <w:tc>
          <w:tcPr>
            <w:tcW w:w="245" w:type="dxa"/>
            <w:tcBorders>
              <w:top w:val="nil"/>
              <w:left w:val="single" w:sz="6" w:space="0" w:color="auto"/>
              <w:bottom w:val="nil"/>
              <w:right w:val="single" w:sz="6" w:space="0" w:color="auto"/>
            </w:tcBorders>
          </w:tcPr>
          <w:p w:rsidR="001E1153" w:rsidRPr="00D333A9" w:rsidRDefault="001E1153" w:rsidP="001E1153">
            <w:pPr>
              <w:autoSpaceDE w:val="0"/>
              <w:autoSpaceDN w:val="0"/>
              <w:adjustRightInd w:val="0"/>
              <w:rPr>
                <w:rFonts w:cs="Arial"/>
                <w:lang w:val="fr-BE"/>
              </w:rPr>
            </w:pPr>
          </w:p>
        </w:tc>
        <w:tc>
          <w:tcPr>
            <w:tcW w:w="1696"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fr-BE"/>
              </w:rPr>
            </w:pPr>
            <w:proofErr w:type="spellStart"/>
            <w:r w:rsidRPr="00D333A9">
              <w:rPr>
                <w:rFonts w:cs="Arial"/>
                <w:lang w:val="fr-BE"/>
              </w:rPr>
              <w:t>Alcohol</w:t>
            </w:r>
            <w:proofErr w:type="spellEnd"/>
            <w:r w:rsidRPr="00D333A9">
              <w:rPr>
                <w:rFonts w:cs="Arial"/>
                <w:lang w:val="fr-BE"/>
              </w:rPr>
              <w:t xml:space="preserve"> </w:t>
            </w:r>
            <w:proofErr w:type="spellStart"/>
            <w:r w:rsidRPr="00D333A9">
              <w:rPr>
                <w:rFonts w:cs="Arial"/>
                <w:lang w:val="fr-BE"/>
              </w:rPr>
              <w:t>consumption</w:t>
            </w:r>
            <w:proofErr w:type="spellEnd"/>
          </w:p>
        </w:tc>
        <w:tc>
          <w:tcPr>
            <w:tcW w:w="2370"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fr-BE"/>
              </w:rPr>
            </w:pPr>
            <w:proofErr w:type="spellStart"/>
            <w:r w:rsidRPr="00D333A9">
              <w:rPr>
                <w:color w:val="000000"/>
              </w:rPr>
              <w:t>Alcoholgebruik</w:t>
            </w:r>
            <w:proofErr w:type="spellEnd"/>
          </w:p>
        </w:tc>
        <w:tc>
          <w:tcPr>
            <w:tcW w:w="1764"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fr-BE"/>
              </w:rPr>
            </w:pPr>
            <w:r w:rsidRPr="00D333A9">
              <w:rPr>
                <w:rFonts w:cs="Arial"/>
                <w:lang w:val="fr-BE"/>
              </w:rPr>
              <w:t>Consommation d’alcool</w:t>
            </w:r>
          </w:p>
        </w:tc>
        <w:tc>
          <w:tcPr>
            <w:tcW w:w="1936"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fr-BE"/>
              </w:rPr>
            </w:pPr>
            <w:r w:rsidRPr="00D333A9">
              <w:rPr>
                <w:rFonts w:cs="Arial"/>
                <w:lang w:val="de-DE"/>
              </w:rPr>
              <w:t>Alkoholkonsum</w:t>
            </w:r>
          </w:p>
        </w:tc>
      </w:tr>
      <w:tr w:rsidR="001E1153" w:rsidRPr="00D333A9" w:rsidTr="0075118A">
        <w:tc>
          <w:tcPr>
            <w:tcW w:w="1879" w:type="dxa"/>
            <w:vMerge w:val="restart"/>
            <w:tcBorders>
              <w:left w:val="single" w:sz="6" w:space="0" w:color="auto"/>
              <w:right w:val="single" w:sz="6" w:space="0" w:color="auto"/>
            </w:tcBorders>
          </w:tcPr>
          <w:p w:rsidR="001E1153" w:rsidRPr="00D333A9" w:rsidRDefault="006450F5" w:rsidP="001E1153">
            <w:pPr>
              <w:numPr>
                <w:ilvl w:val="0"/>
                <w:numId w:val="36"/>
              </w:numPr>
              <w:shd w:val="clear" w:color="auto" w:fill="FFFFFF"/>
              <w:spacing w:before="100" w:beforeAutospacing="1" w:after="24"/>
              <w:ind w:left="0"/>
              <w:jc w:val="left"/>
              <w:rPr>
                <w:rFonts w:cs="Arial"/>
                <w:lang w:val="nl-BE"/>
              </w:rPr>
            </w:pPr>
            <w:hyperlink r:id="rId13" w:history="1">
              <w:r w:rsidR="001E1153" w:rsidRPr="00D333A9">
                <w:rPr>
                  <w:rFonts w:cs="Arial"/>
                  <w:lang w:val="nl-BE"/>
                </w:rPr>
                <w:t>Alcohol Drinking/adverse effects</w:t>
              </w:r>
            </w:hyperlink>
          </w:p>
        </w:tc>
        <w:tc>
          <w:tcPr>
            <w:tcW w:w="245" w:type="dxa"/>
            <w:tcBorders>
              <w:top w:val="nil"/>
              <w:left w:val="single" w:sz="6" w:space="0" w:color="auto"/>
              <w:bottom w:val="nil"/>
              <w:right w:val="single" w:sz="6" w:space="0" w:color="auto"/>
            </w:tcBorders>
          </w:tcPr>
          <w:p w:rsidR="001E1153" w:rsidRPr="00D333A9" w:rsidRDefault="001E1153" w:rsidP="001E1153">
            <w:pPr>
              <w:autoSpaceDE w:val="0"/>
              <w:autoSpaceDN w:val="0"/>
              <w:adjustRightInd w:val="0"/>
              <w:rPr>
                <w:rFonts w:cs="Arial"/>
                <w:lang w:val="fr-BE"/>
              </w:rPr>
            </w:pPr>
          </w:p>
        </w:tc>
        <w:tc>
          <w:tcPr>
            <w:tcW w:w="1696"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en-GB"/>
              </w:rPr>
            </w:pPr>
            <w:r w:rsidRPr="00D333A9">
              <w:rPr>
                <w:rFonts w:cs="Arial"/>
                <w:lang w:val="en-GB"/>
              </w:rPr>
              <w:t>Adverse effects</w:t>
            </w:r>
          </w:p>
        </w:tc>
        <w:tc>
          <w:tcPr>
            <w:tcW w:w="2370"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fr-BE"/>
              </w:rPr>
            </w:pPr>
            <w:proofErr w:type="spellStart"/>
            <w:r w:rsidRPr="00D333A9">
              <w:rPr>
                <w:rFonts w:cs="Arial"/>
              </w:rPr>
              <w:t>Schadelijke</w:t>
            </w:r>
            <w:proofErr w:type="spellEnd"/>
            <w:r w:rsidRPr="00D333A9">
              <w:rPr>
                <w:rFonts w:cs="Arial"/>
              </w:rPr>
              <w:t xml:space="preserve"> </w:t>
            </w:r>
            <w:proofErr w:type="spellStart"/>
            <w:r w:rsidRPr="00D333A9">
              <w:rPr>
                <w:rFonts w:cs="Arial"/>
              </w:rPr>
              <w:t>effecten</w:t>
            </w:r>
            <w:proofErr w:type="spellEnd"/>
            <w:r w:rsidRPr="00D333A9">
              <w:rPr>
                <w:rFonts w:cs="Arial"/>
              </w:rPr>
              <w:t xml:space="preserve"> </w:t>
            </w:r>
          </w:p>
        </w:tc>
        <w:tc>
          <w:tcPr>
            <w:tcW w:w="1764"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de-DE"/>
              </w:rPr>
            </w:pPr>
            <w:r w:rsidRPr="00D333A9">
              <w:rPr>
                <w:rFonts w:cs="Arial"/>
                <w:lang w:val="de-DE"/>
              </w:rPr>
              <w:t xml:space="preserve">Effets </w:t>
            </w:r>
            <w:proofErr w:type="spellStart"/>
            <w:r w:rsidRPr="00D333A9">
              <w:rPr>
                <w:rFonts w:cs="Arial"/>
                <w:lang w:val="de-DE"/>
              </w:rPr>
              <w:t>secondaires</w:t>
            </w:r>
            <w:proofErr w:type="spellEnd"/>
          </w:p>
        </w:tc>
        <w:tc>
          <w:tcPr>
            <w:tcW w:w="1936"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de-DE"/>
              </w:rPr>
            </w:pPr>
            <w:r w:rsidRPr="00D333A9">
              <w:rPr>
                <w:rFonts w:cs="Arial"/>
                <w:lang w:val="de-DE"/>
              </w:rPr>
              <w:t>Negative Auswirkungen</w:t>
            </w:r>
          </w:p>
        </w:tc>
      </w:tr>
      <w:tr w:rsidR="001E1153" w:rsidRPr="00D333A9" w:rsidTr="0075118A">
        <w:tc>
          <w:tcPr>
            <w:tcW w:w="1879" w:type="dxa"/>
            <w:vMerge/>
            <w:tcBorders>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nl-BE"/>
              </w:rPr>
            </w:pPr>
          </w:p>
        </w:tc>
        <w:tc>
          <w:tcPr>
            <w:tcW w:w="245" w:type="dxa"/>
            <w:tcBorders>
              <w:top w:val="nil"/>
              <w:left w:val="single" w:sz="6" w:space="0" w:color="auto"/>
              <w:bottom w:val="nil"/>
              <w:right w:val="single" w:sz="6" w:space="0" w:color="auto"/>
            </w:tcBorders>
          </w:tcPr>
          <w:p w:rsidR="001E1153" w:rsidRPr="00D333A9" w:rsidRDefault="001E1153" w:rsidP="001E1153">
            <w:pPr>
              <w:autoSpaceDE w:val="0"/>
              <w:autoSpaceDN w:val="0"/>
              <w:adjustRightInd w:val="0"/>
              <w:rPr>
                <w:rFonts w:cs="Arial"/>
                <w:lang w:val="en-GB"/>
              </w:rPr>
            </w:pPr>
          </w:p>
        </w:tc>
        <w:tc>
          <w:tcPr>
            <w:tcW w:w="1696"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en-GB"/>
              </w:rPr>
            </w:pPr>
            <w:r w:rsidRPr="00D333A9">
              <w:rPr>
                <w:rFonts w:cs="Arial"/>
                <w:lang w:val="en-GB"/>
              </w:rPr>
              <w:t xml:space="preserve">Standard unit </w:t>
            </w:r>
          </w:p>
        </w:tc>
        <w:tc>
          <w:tcPr>
            <w:tcW w:w="2370"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fr-BE"/>
              </w:rPr>
            </w:pPr>
            <w:proofErr w:type="spellStart"/>
            <w:r w:rsidRPr="00D333A9">
              <w:t>Standaardeenheid</w:t>
            </w:r>
            <w:proofErr w:type="spellEnd"/>
          </w:p>
        </w:tc>
        <w:tc>
          <w:tcPr>
            <w:tcW w:w="1764"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de-DE"/>
              </w:rPr>
            </w:pPr>
            <w:r w:rsidRPr="00D333A9">
              <w:rPr>
                <w:rFonts w:cs="Arial"/>
                <w:lang w:val="nl-BE"/>
              </w:rPr>
              <w:t>Unité standard</w:t>
            </w:r>
          </w:p>
        </w:tc>
        <w:tc>
          <w:tcPr>
            <w:tcW w:w="1936"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de-DE"/>
              </w:rPr>
            </w:pPr>
            <w:r w:rsidRPr="00D333A9">
              <w:rPr>
                <w:rFonts w:cs="Arial"/>
                <w:lang w:val="de-DE"/>
              </w:rPr>
              <w:t>Standardeinheit</w:t>
            </w:r>
          </w:p>
        </w:tc>
      </w:tr>
      <w:tr w:rsidR="001E1153" w:rsidRPr="00D333A9" w:rsidTr="0075118A">
        <w:trPr>
          <w:trHeight w:val="65"/>
        </w:trPr>
        <w:tc>
          <w:tcPr>
            <w:tcW w:w="1879"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numPr>
                <w:ilvl w:val="0"/>
                <w:numId w:val="36"/>
              </w:numPr>
              <w:shd w:val="clear" w:color="auto" w:fill="FFFFFF"/>
              <w:spacing w:before="100" w:beforeAutospacing="1" w:after="24"/>
              <w:ind w:left="0"/>
              <w:jc w:val="left"/>
              <w:rPr>
                <w:rFonts w:cs="Arial"/>
                <w:lang w:val="nl-BE"/>
              </w:rPr>
            </w:pPr>
            <w:r w:rsidRPr="00D333A9">
              <w:rPr>
                <w:rFonts w:cs="Arial"/>
                <w:lang w:val="nl-BE"/>
              </w:rPr>
              <w:t>Reference Values</w:t>
            </w:r>
          </w:p>
        </w:tc>
        <w:tc>
          <w:tcPr>
            <w:tcW w:w="245" w:type="dxa"/>
            <w:tcBorders>
              <w:top w:val="nil"/>
              <w:left w:val="single" w:sz="6" w:space="0" w:color="auto"/>
              <w:bottom w:val="nil"/>
              <w:right w:val="single" w:sz="6" w:space="0" w:color="auto"/>
            </w:tcBorders>
          </w:tcPr>
          <w:p w:rsidR="001E1153" w:rsidRPr="00D333A9" w:rsidRDefault="001E1153" w:rsidP="001E1153">
            <w:pPr>
              <w:autoSpaceDE w:val="0"/>
              <w:autoSpaceDN w:val="0"/>
              <w:adjustRightInd w:val="0"/>
              <w:rPr>
                <w:rFonts w:cs="Arial"/>
                <w:lang w:val="en-GB"/>
              </w:rPr>
            </w:pPr>
          </w:p>
        </w:tc>
        <w:tc>
          <w:tcPr>
            <w:tcW w:w="1696"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en-GB"/>
              </w:rPr>
            </w:pPr>
            <w:r w:rsidRPr="00D333A9">
              <w:rPr>
                <w:rFonts w:cs="Arial"/>
                <w:lang w:val="en-GB"/>
              </w:rPr>
              <w:t xml:space="preserve">Reference values </w:t>
            </w:r>
          </w:p>
        </w:tc>
        <w:tc>
          <w:tcPr>
            <w:tcW w:w="2370"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fr-BE"/>
              </w:rPr>
            </w:pPr>
            <w:proofErr w:type="spellStart"/>
            <w:r w:rsidRPr="00D333A9">
              <w:t>Maatstaven</w:t>
            </w:r>
            <w:proofErr w:type="spellEnd"/>
            <w:r w:rsidRPr="00D333A9">
              <w:t xml:space="preserve"> </w:t>
            </w:r>
            <w:proofErr w:type="spellStart"/>
            <w:r w:rsidRPr="00D333A9">
              <w:t>voor</w:t>
            </w:r>
            <w:proofErr w:type="spellEnd"/>
            <w:r w:rsidRPr="00D333A9">
              <w:t xml:space="preserve"> </w:t>
            </w:r>
            <w:proofErr w:type="spellStart"/>
            <w:r w:rsidRPr="00D333A9">
              <w:t>gebruik</w:t>
            </w:r>
            <w:proofErr w:type="spellEnd"/>
          </w:p>
        </w:tc>
        <w:tc>
          <w:tcPr>
            <w:tcW w:w="1764"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nl-BE"/>
              </w:rPr>
            </w:pPr>
            <w:r w:rsidRPr="00D333A9">
              <w:rPr>
                <w:rFonts w:cs="Arial"/>
                <w:lang w:val="nl-BE"/>
              </w:rPr>
              <w:t>Repères de consommation</w:t>
            </w:r>
          </w:p>
        </w:tc>
        <w:tc>
          <w:tcPr>
            <w:tcW w:w="1936"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de-DE"/>
              </w:rPr>
            </w:pPr>
            <w:r w:rsidRPr="00D333A9">
              <w:rPr>
                <w:rFonts w:cs="Arial"/>
                <w:lang w:val="de-DE"/>
              </w:rPr>
              <w:t>Referenzwerte für den Konsum</w:t>
            </w:r>
          </w:p>
        </w:tc>
      </w:tr>
      <w:tr w:rsidR="001E1153" w:rsidRPr="00D333A9" w:rsidTr="0075118A">
        <w:tc>
          <w:tcPr>
            <w:tcW w:w="1879" w:type="dxa"/>
            <w:vMerge w:val="restart"/>
            <w:tcBorders>
              <w:top w:val="single" w:sz="6" w:space="0" w:color="auto"/>
              <w:left w:val="single" w:sz="6" w:space="0" w:color="auto"/>
              <w:right w:val="single" w:sz="6" w:space="0" w:color="auto"/>
            </w:tcBorders>
          </w:tcPr>
          <w:p w:rsidR="001E1153" w:rsidRPr="00D333A9" w:rsidRDefault="001E1153" w:rsidP="001E1153">
            <w:pPr>
              <w:numPr>
                <w:ilvl w:val="0"/>
                <w:numId w:val="36"/>
              </w:numPr>
              <w:shd w:val="clear" w:color="auto" w:fill="FFFFFF"/>
              <w:spacing w:before="100" w:beforeAutospacing="1" w:after="24"/>
              <w:ind w:left="0"/>
              <w:jc w:val="left"/>
              <w:rPr>
                <w:rFonts w:cs="Arial"/>
                <w:lang w:val="nl-BE"/>
              </w:rPr>
            </w:pPr>
            <w:r w:rsidRPr="00D333A9">
              <w:rPr>
                <w:rFonts w:cs="Arial"/>
                <w:lang w:val="nl-BE"/>
              </w:rPr>
              <w:t xml:space="preserve">Guidelines  </w:t>
            </w:r>
          </w:p>
          <w:p w:rsidR="001E1153" w:rsidRPr="00D333A9" w:rsidRDefault="001E1153" w:rsidP="001E1153">
            <w:pPr>
              <w:numPr>
                <w:ilvl w:val="0"/>
                <w:numId w:val="36"/>
              </w:numPr>
              <w:shd w:val="clear" w:color="auto" w:fill="FFFFFF"/>
              <w:spacing w:before="100" w:beforeAutospacing="1" w:after="24"/>
              <w:ind w:left="0"/>
              <w:jc w:val="left"/>
              <w:rPr>
                <w:rFonts w:cs="Arial"/>
                <w:lang w:val="nl-BE"/>
              </w:rPr>
            </w:pPr>
            <w:r w:rsidRPr="00D333A9">
              <w:rPr>
                <w:rFonts w:cs="Arial"/>
                <w:lang w:val="nl-BE"/>
              </w:rPr>
              <w:t>Risk Assessment</w:t>
            </w:r>
          </w:p>
        </w:tc>
        <w:tc>
          <w:tcPr>
            <w:tcW w:w="245" w:type="dxa"/>
            <w:tcBorders>
              <w:top w:val="nil"/>
              <w:left w:val="single" w:sz="6" w:space="0" w:color="auto"/>
              <w:bottom w:val="nil"/>
              <w:right w:val="single" w:sz="6" w:space="0" w:color="auto"/>
            </w:tcBorders>
          </w:tcPr>
          <w:p w:rsidR="001E1153" w:rsidRPr="00D333A9" w:rsidRDefault="001E1153" w:rsidP="001E1153">
            <w:pPr>
              <w:autoSpaceDE w:val="0"/>
              <w:autoSpaceDN w:val="0"/>
              <w:adjustRightInd w:val="0"/>
              <w:rPr>
                <w:rFonts w:cs="Arial"/>
                <w:lang w:val="en-GB"/>
              </w:rPr>
            </w:pPr>
          </w:p>
        </w:tc>
        <w:tc>
          <w:tcPr>
            <w:tcW w:w="1696"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en-GB"/>
              </w:rPr>
            </w:pPr>
            <w:r w:rsidRPr="00D333A9">
              <w:rPr>
                <w:rFonts w:cs="Arial"/>
                <w:lang w:val="en-GB"/>
              </w:rPr>
              <w:t>Guidelines</w:t>
            </w:r>
          </w:p>
        </w:tc>
        <w:tc>
          <w:tcPr>
            <w:tcW w:w="2370"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fr-BE"/>
              </w:rPr>
            </w:pPr>
            <w:proofErr w:type="spellStart"/>
            <w:r w:rsidRPr="00D333A9">
              <w:rPr>
                <w:rFonts w:cs="Arial"/>
              </w:rPr>
              <w:t>Richtlijnen</w:t>
            </w:r>
            <w:proofErr w:type="spellEnd"/>
          </w:p>
        </w:tc>
        <w:tc>
          <w:tcPr>
            <w:tcW w:w="1764"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nl-BE"/>
              </w:rPr>
            </w:pPr>
            <w:r w:rsidRPr="00D333A9">
              <w:rPr>
                <w:rFonts w:cs="Arial"/>
                <w:lang w:val="nl-BE"/>
              </w:rPr>
              <w:t>Directives</w:t>
            </w:r>
          </w:p>
        </w:tc>
        <w:tc>
          <w:tcPr>
            <w:tcW w:w="1936"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de-DE"/>
              </w:rPr>
            </w:pPr>
            <w:r w:rsidRPr="00D333A9">
              <w:rPr>
                <w:rFonts w:cs="Arial"/>
                <w:lang w:val="de-DE"/>
              </w:rPr>
              <w:t xml:space="preserve">Richtlinien </w:t>
            </w:r>
          </w:p>
        </w:tc>
      </w:tr>
      <w:tr w:rsidR="001E1153" w:rsidRPr="00D333A9" w:rsidTr="0075118A">
        <w:tc>
          <w:tcPr>
            <w:tcW w:w="1879" w:type="dxa"/>
            <w:vMerge/>
            <w:tcBorders>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nl-BE"/>
              </w:rPr>
            </w:pPr>
          </w:p>
        </w:tc>
        <w:tc>
          <w:tcPr>
            <w:tcW w:w="245" w:type="dxa"/>
            <w:tcBorders>
              <w:top w:val="nil"/>
              <w:left w:val="single" w:sz="6" w:space="0" w:color="auto"/>
              <w:bottom w:val="nil"/>
              <w:right w:val="single" w:sz="6" w:space="0" w:color="auto"/>
            </w:tcBorders>
          </w:tcPr>
          <w:p w:rsidR="001E1153" w:rsidRPr="00D333A9" w:rsidRDefault="001E1153" w:rsidP="001E1153">
            <w:pPr>
              <w:autoSpaceDE w:val="0"/>
              <w:autoSpaceDN w:val="0"/>
              <w:adjustRightInd w:val="0"/>
              <w:rPr>
                <w:rFonts w:cs="Arial"/>
                <w:lang w:val="en-GB"/>
              </w:rPr>
            </w:pPr>
          </w:p>
        </w:tc>
        <w:tc>
          <w:tcPr>
            <w:tcW w:w="1696"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en-GB"/>
              </w:rPr>
            </w:pPr>
            <w:r w:rsidRPr="00D333A9">
              <w:rPr>
                <w:rFonts w:cs="Arial"/>
                <w:lang w:val="en-GB"/>
              </w:rPr>
              <w:t xml:space="preserve">Risk assessment </w:t>
            </w:r>
          </w:p>
        </w:tc>
        <w:tc>
          <w:tcPr>
            <w:tcW w:w="2370"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fr-BE"/>
              </w:rPr>
            </w:pPr>
            <w:proofErr w:type="spellStart"/>
            <w:r w:rsidRPr="00D333A9">
              <w:rPr>
                <w:rFonts w:cs="Arial"/>
              </w:rPr>
              <w:t>Risicobeoordeling</w:t>
            </w:r>
            <w:proofErr w:type="spellEnd"/>
          </w:p>
        </w:tc>
        <w:tc>
          <w:tcPr>
            <w:tcW w:w="1764"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nl-BE"/>
              </w:rPr>
            </w:pPr>
            <w:r w:rsidRPr="00D333A9">
              <w:rPr>
                <w:rFonts w:cs="Arial"/>
                <w:lang w:val="en-GB"/>
              </w:rPr>
              <w:t xml:space="preserve">Evaluation du </w:t>
            </w:r>
            <w:proofErr w:type="spellStart"/>
            <w:r w:rsidRPr="00D333A9">
              <w:rPr>
                <w:rFonts w:cs="Arial"/>
                <w:lang w:val="en-GB"/>
              </w:rPr>
              <w:t>risque</w:t>
            </w:r>
            <w:proofErr w:type="spellEnd"/>
          </w:p>
        </w:tc>
        <w:tc>
          <w:tcPr>
            <w:tcW w:w="1936"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de-DE"/>
              </w:rPr>
            </w:pPr>
            <w:r w:rsidRPr="00D333A9">
              <w:rPr>
                <w:rFonts w:cs="Arial"/>
                <w:lang w:val="de-DE"/>
              </w:rPr>
              <w:t>Risikobewertung</w:t>
            </w:r>
          </w:p>
        </w:tc>
      </w:tr>
      <w:tr w:rsidR="001E1153" w:rsidRPr="00D333A9" w:rsidTr="0075118A">
        <w:tc>
          <w:tcPr>
            <w:tcW w:w="1879"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numPr>
                <w:ilvl w:val="0"/>
                <w:numId w:val="36"/>
              </w:numPr>
              <w:shd w:val="clear" w:color="auto" w:fill="FFFFFF"/>
              <w:spacing w:before="100" w:beforeAutospacing="1" w:after="24"/>
              <w:ind w:left="0"/>
              <w:jc w:val="left"/>
              <w:rPr>
                <w:rFonts w:cs="Arial"/>
                <w:lang w:val="nl-BE"/>
              </w:rPr>
            </w:pPr>
            <w:r w:rsidRPr="00D333A9">
              <w:rPr>
                <w:rFonts w:cs="Arial"/>
                <w:lang w:val="nl-BE"/>
              </w:rPr>
              <w:t>Policy Making</w:t>
            </w:r>
          </w:p>
        </w:tc>
        <w:tc>
          <w:tcPr>
            <w:tcW w:w="245" w:type="dxa"/>
            <w:tcBorders>
              <w:top w:val="nil"/>
              <w:left w:val="single" w:sz="6" w:space="0" w:color="auto"/>
              <w:bottom w:val="nil"/>
              <w:right w:val="single" w:sz="6" w:space="0" w:color="auto"/>
            </w:tcBorders>
          </w:tcPr>
          <w:p w:rsidR="001E1153" w:rsidRPr="00D333A9" w:rsidRDefault="001E1153" w:rsidP="001E1153">
            <w:pPr>
              <w:autoSpaceDE w:val="0"/>
              <w:autoSpaceDN w:val="0"/>
              <w:adjustRightInd w:val="0"/>
              <w:rPr>
                <w:rFonts w:cs="Arial"/>
                <w:lang w:val="en-GB"/>
              </w:rPr>
            </w:pPr>
          </w:p>
        </w:tc>
        <w:tc>
          <w:tcPr>
            <w:tcW w:w="1696"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en-GB"/>
              </w:rPr>
            </w:pPr>
            <w:r w:rsidRPr="00D333A9">
              <w:rPr>
                <w:rFonts w:cs="Arial"/>
                <w:lang w:val="en-GB"/>
              </w:rPr>
              <w:t>Policy</w:t>
            </w:r>
          </w:p>
        </w:tc>
        <w:tc>
          <w:tcPr>
            <w:tcW w:w="2370"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en-GB"/>
              </w:rPr>
            </w:pPr>
            <w:proofErr w:type="spellStart"/>
            <w:r w:rsidRPr="00D333A9">
              <w:rPr>
                <w:rFonts w:cs="Arial"/>
              </w:rPr>
              <w:t>Beleid</w:t>
            </w:r>
            <w:proofErr w:type="spellEnd"/>
          </w:p>
        </w:tc>
        <w:tc>
          <w:tcPr>
            <w:tcW w:w="1764"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en-GB"/>
              </w:rPr>
            </w:pPr>
            <w:r w:rsidRPr="00D333A9">
              <w:rPr>
                <w:rFonts w:cs="Arial"/>
                <w:lang w:val="en-GB"/>
              </w:rPr>
              <w:t>Politique</w:t>
            </w:r>
          </w:p>
        </w:tc>
        <w:tc>
          <w:tcPr>
            <w:tcW w:w="1936"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en-GB"/>
              </w:rPr>
            </w:pPr>
            <w:r w:rsidRPr="00D333A9">
              <w:rPr>
                <w:rFonts w:cs="Arial"/>
                <w:lang w:val="de-DE"/>
              </w:rPr>
              <w:t xml:space="preserve">Politik </w:t>
            </w:r>
          </w:p>
        </w:tc>
      </w:tr>
      <w:tr w:rsidR="001E1153" w:rsidRPr="00D333A9" w:rsidTr="0075118A">
        <w:tc>
          <w:tcPr>
            <w:tcW w:w="1879"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numPr>
                <w:ilvl w:val="0"/>
                <w:numId w:val="36"/>
              </w:numPr>
              <w:shd w:val="clear" w:color="auto" w:fill="FFFFFF"/>
              <w:spacing w:before="100" w:beforeAutospacing="1" w:after="24"/>
              <w:ind w:left="0"/>
              <w:jc w:val="left"/>
              <w:rPr>
                <w:rFonts w:cs="Arial"/>
                <w:lang w:val="nl-BE"/>
              </w:rPr>
            </w:pPr>
            <w:r w:rsidRPr="00D333A9">
              <w:rPr>
                <w:rFonts w:cs="Arial"/>
                <w:lang w:val="nl-BE"/>
              </w:rPr>
              <w:t>Public Health / standards</w:t>
            </w:r>
          </w:p>
        </w:tc>
        <w:tc>
          <w:tcPr>
            <w:tcW w:w="245" w:type="dxa"/>
            <w:tcBorders>
              <w:top w:val="nil"/>
              <w:left w:val="single" w:sz="6" w:space="0" w:color="auto"/>
              <w:bottom w:val="nil"/>
              <w:right w:val="single" w:sz="6" w:space="0" w:color="auto"/>
            </w:tcBorders>
          </w:tcPr>
          <w:p w:rsidR="001E1153" w:rsidRPr="00D333A9" w:rsidRDefault="001E1153" w:rsidP="001E1153">
            <w:pPr>
              <w:autoSpaceDE w:val="0"/>
              <w:autoSpaceDN w:val="0"/>
              <w:adjustRightInd w:val="0"/>
              <w:rPr>
                <w:rFonts w:cs="Arial"/>
                <w:lang w:val="en-GB"/>
              </w:rPr>
            </w:pPr>
          </w:p>
        </w:tc>
        <w:tc>
          <w:tcPr>
            <w:tcW w:w="1696"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en-GB"/>
              </w:rPr>
            </w:pPr>
            <w:r w:rsidRPr="00D333A9">
              <w:rPr>
                <w:rFonts w:cs="Arial"/>
                <w:lang w:val="en-GB"/>
              </w:rPr>
              <w:t>Public health</w:t>
            </w:r>
          </w:p>
        </w:tc>
        <w:tc>
          <w:tcPr>
            <w:tcW w:w="2370"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en-GB"/>
              </w:rPr>
            </w:pPr>
            <w:proofErr w:type="spellStart"/>
            <w:r w:rsidRPr="00D333A9">
              <w:rPr>
                <w:rFonts w:cs="Arial"/>
              </w:rPr>
              <w:t>Volksgezondheid</w:t>
            </w:r>
            <w:proofErr w:type="spellEnd"/>
          </w:p>
        </w:tc>
        <w:tc>
          <w:tcPr>
            <w:tcW w:w="1764"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en-GB"/>
              </w:rPr>
            </w:pPr>
            <w:r w:rsidRPr="00D333A9">
              <w:rPr>
                <w:rFonts w:cs="Arial"/>
                <w:lang w:val="en-GB"/>
              </w:rPr>
              <w:t xml:space="preserve">Santé </w:t>
            </w:r>
            <w:proofErr w:type="spellStart"/>
            <w:r w:rsidRPr="00D333A9">
              <w:rPr>
                <w:rFonts w:cs="Arial"/>
                <w:lang w:val="en-GB"/>
              </w:rPr>
              <w:t>publique</w:t>
            </w:r>
            <w:proofErr w:type="spellEnd"/>
          </w:p>
        </w:tc>
        <w:tc>
          <w:tcPr>
            <w:tcW w:w="1936"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en-GB"/>
              </w:rPr>
            </w:pPr>
            <w:r w:rsidRPr="00D333A9">
              <w:rPr>
                <w:rFonts w:cs="Arial"/>
                <w:lang w:val="de-DE"/>
              </w:rPr>
              <w:t>Volksgesundheit</w:t>
            </w:r>
          </w:p>
        </w:tc>
      </w:tr>
      <w:tr w:rsidR="001E1153" w:rsidRPr="00D333A9" w:rsidTr="0075118A">
        <w:tc>
          <w:tcPr>
            <w:tcW w:w="1879"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numPr>
                <w:ilvl w:val="0"/>
                <w:numId w:val="36"/>
              </w:numPr>
              <w:shd w:val="clear" w:color="auto" w:fill="FFFFFF"/>
              <w:spacing w:before="100" w:beforeAutospacing="1" w:after="24"/>
              <w:ind w:left="0"/>
              <w:jc w:val="left"/>
              <w:rPr>
                <w:rFonts w:cs="Arial"/>
                <w:lang w:val="nl-BE"/>
              </w:rPr>
            </w:pPr>
            <w:r w:rsidRPr="00D333A9">
              <w:rPr>
                <w:rFonts w:cs="Arial"/>
                <w:lang w:val="nl-BE"/>
              </w:rPr>
              <w:t>Pregnancy</w:t>
            </w:r>
          </w:p>
        </w:tc>
        <w:tc>
          <w:tcPr>
            <w:tcW w:w="245" w:type="dxa"/>
            <w:tcBorders>
              <w:top w:val="nil"/>
              <w:left w:val="single" w:sz="6" w:space="0" w:color="auto"/>
              <w:bottom w:val="nil"/>
              <w:right w:val="single" w:sz="6" w:space="0" w:color="auto"/>
            </w:tcBorders>
          </w:tcPr>
          <w:p w:rsidR="001E1153" w:rsidRPr="00D333A9" w:rsidRDefault="001E1153" w:rsidP="001E1153">
            <w:pPr>
              <w:autoSpaceDE w:val="0"/>
              <w:autoSpaceDN w:val="0"/>
              <w:adjustRightInd w:val="0"/>
              <w:rPr>
                <w:rFonts w:cs="Arial"/>
                <w:lang w:val="en-GB"/>
              </w:rPr>
            </w:pPr>
          </w:p>
        </w:tc>
        <w:tc>
          <w:tcPr>
            <w:tcW w:w="1696"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en-GB"/>
              </w:rPr>
            </w:pPr>
            <w:r w:rsidRPr="00D333A9">
              <w:rPr>
                <w:rFonts w:cs="Arial"/>
                <w:lang w:val="en-GB"/>
              </w:rPr>
              <w:t xml:space="preserve">Pregnancy </w:t>
            </w:r>
          </w:p>
        </w:tc>
        <w:tc>
          <w:tcPr>
            <w:tcW w:w="2370"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en-GB"/>
              </w:rPr>
            </w:pPr>
            <w:proofErr w:type="spellStart"/>
            <w:r w:rsidRPr="00D333A9">
              <w:rPr>
                <w:rFonts w:cs="Arial"/>
              </w:rPr>
              <w:t>Zwangerschap</w:t>
            </w:r>
            <w:proofErr w:type="spellEnd"/>
          </w:p>
        </w:tc>
        <w:tc>
          <w:tcPr>
            <w:tcW w:w="1764"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en-GB"/>
              </w:rPr>
            </w:pPr>
            <w:proofErr w:type="spellStart"/>
            <w:r w:rsidRPr="00D333A9">
              <w:rPr>
                <w:rFonts w:cs="Arial"/>
                <w:lang w:val="en-GB"/>
              </w:rPr>
              <w:t>Grossesse</w:t>
            </w:r>
            <w:proofErr w:type="spellEnd"/>
          </w:p>
        </w:tc>
        <w:tc>
          <w:tcPr>
            <w:tcW w:w="1936"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en-GB"/>
              </w:rPr>
            </w:pPr>
            <w:r w:rsidRPr="00D333A9">
              <w:rPr>
                <w:rFonts w:cs="Arial"/>
                <w:lang w:val="de-DE"/>
              </w:rPr>
              <w:t xml:space="preserve">Schwangerschaft </w:t>
            </w:r>
          </w:p>
        </w:tc>
      </w:tr>
      <w:tr w:rsidR="001E1153" w:rsidRPr="00D333A9" w:rsidTr="0075118A">
        <w:tc>
          <w:tcPr>
            <w:tcW w:w="1879"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numPr>
                <w:ilvl w:val="0"/>
                <w:numId w:val="36"/>
              </w:numPr>
              <w:shd w:val="clear" w:color="auto" w:fill="FFFFFF"/>
              <w:spacing w:before="100" w:beforeAutospacing="1" w:after="24"/>
              <w:ind w:left="0"/>
              <w:jc w:val="left"/>
              <w:rPr>
                <w:rFonts w:cs="Arial"/>
                <w:lang w:val="nl-BE"/>
              </w:rPr>
            </w:pPr>
            <w:r w:rsidRPr="00D333A9">
              <w:rPr>
                <w:rFonts w:cs="Arial"/>
                <w:lang w:val="nl-BE"/>
              </w:rPr>
              <w:t xml:space="preserve">Adolescent </w:t>
            </w:r>
          </w:p>
          <w:p w:rsidR="001E1153" w:rsidRPr="00D333A9" w:rsidRDefault="001E1153" w:rsidP="001E1153">
            <w:pPr>
              <w:numPr>
                <w:ilvl w:val="0"/>
                <w:numId w:val="36"/>
              </w:numPr>
              <w:shd w:val="clear" w:color="auto" w:fill="FFFFFF"/>
              <w:spacing w:before="100" w:beforeAutospacing="1" w:after="24"/>
              <w:ind w:left="0"/>
              <w:jc w:val="left"/>
              <w:rPr>
                <w:rFonts w:cs="Arial"/>
                <w:lang w:val="nl-BE"/>
              </w:rPr>
            </w:pPr>
          </w:p>
        </w:tc>
        <w:tc>
          <w:tcPr>
            <w:tcW w:w="245" w:type="dxa"/>
            <w:tcBorders>
              <w:top w:val="nil"/>
              <w:left w:val="single" w:sz="6" w:space="0" w:color="auto"/>
              <w:bottom w:val="nil"/>
              <w:right w:val="single" w:sz="6" w:space="0" w:color="auto"/>
            </w:tcBorders>
          </w:tcPr>
          <w:p w:rsidR="001E1153" w:rsidRPr="00D333A9" w:rsidRDefault="001E1153" w:rsidP="001E1153">
            <w:pPr>
              <w:autoSpaceDE w:val="0"/>
              <w:autoSpaceDN w:val="0"/>
              <w:adjustRightInd w:val="0"/>
              <w:rPr>
                <w:rFonts w:cs="Arial"/>
                <w:lang w:val="en-GB"/>
              </w:rPr>
            </w:pPr>
          </w:p>
        </w:tc>
        <w:tc>
          <w:tcPr>
            <w:tcW w:w="1696"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en-GB"/>
              </w:rPr>
            </w:pPr>
            <w:r w:rsidRPr="00D333A9">
              <w:rPr>
                <w:rFonts w:cs="Arial"/>
                <w:lang w:val="en-GB"/>
              </w:rPr>
              <w:t>Young people</w:t>
            </w:r>
          </w:p>
        </w:tc>
        <w:tc>
          <w:tcPr>
            <w:tcW w:w="2370" w:type="dxa"/>
            <w:tcBorders>
              <w:top w:val="single" w:sz="6" w:space="0" w:color="auto"/>
              <w:left w:val="single" w:sz="6" w:space="0" w:color="auto"/>
              <w:bottom w:val="single" w:sz="6" w:space="0" w:color="auto"/>
              <w:right w:val="single" w:sz="6" w:space="0" w:color="auto"/>
            </w:tcBorders>
          </w:tcPr>
          <w:p w:rsidR="001E1153" w:rsidRPr="00D333A9" w:rsidRDefault="001E1153" w:rsidP="001E1153">
            <w:pPr>
              <w:autoSpaceDE w:val="0"/>
              <w:autoSpaceDN w:val="0"/>
              <w:adjustRightInd w:val="0"/>
              <w:rPr>
                <w:rFonts w:cs="Arial"/>
                <w:lang w:val="en-GB"/>
              </w:rPr>
            </w:pPr>
            <w:proofErr w:type="spellStart"/>
            <w:r w:rsidRPr="00D333A9">
              <w:rPr>
                <w:rFonts w:cs="Arial"/>
              </w:rPr>
              <w:t>Jongeren</w:t>
            </w:r>
            <w:proofErr w:type="spellEnd"/>
          </w:p>
        </w:tc>
        <w:tc>
          <w:tcPr>
            <w:tcW w:w="1764" w:type="dxa"/>
            <w:tcBorders>
              <w:top w:val="single" w:sz="6" w:space="0" w:color="auto"/>
              <w:left w:val="single" w:sz="6" w:space="0" w:color="auto"/>
              <w:bottom w:val="single" w:sz="6" w:space="0" w:color="auto"/>
              <w:right w:val="single" w:sz="6" w:space="0" w:color="auto"/>
            </w:tcBorders>
          </w:tcPr>
          <w:p w:rsidR="001E1153" w:rsidRDefault="001E1153" w:rsidP="001E1153">
            <w:pPr>
              <w:autoSpaceDE w:val="0"/>
              <w:autoSpaceDN w:val="0"/>
              <w:adjustRightInd w:val="0"/>
              <w:rPr>
                <w:rFonts w:cs="Arial"/>
                <w:lang w:val="en-GB"/>
              </w:rPr>
            </w:pPr>
            <w:proofErr w:type="spellStart"/>
            <w:r w:rsidRPr="00D333A9">
              <w:rPr>
                <w:rFonts w:cs="Arial"/>
                <w:lang w:val="en-GB"/>
              </w:rPr>
              <w:t>Jeunes</w:t>
            </w:r>
            <w:proofErr w:type="spellEnd"/>
          </w:p>
          <w:p w:rsidR="0075118A" w:rsidRPr="00D333A9" w:rsidRDefault="0075118A" w:rsidP="001E1153">
            <w:pPr>
              <w:autoSpaceDE w:val="0"/>
              <w:autoSpaceDN w:val="0"/>
              <w:adjustRightInd w:val="0"/>
              <w:rPr>
                <w:rFonts w:cs="Arial"/>
                <w:lang w:val="en-GB"/>
              </w:rPr>
            </w:pPr>
          </w:p>
        </w:tc>
        <w:tc>
          <w:tcPr>
            <w:tcW w:w="1936" w:type="dxa"/>
            <w:tcBorders>
              <w:top w:val="single" w:sz="6" w:space="0" w:color="auto"/>
              <w:left w:val="single" w:sz="6" w:space="0" w:color="auto"/>
              <w:bottom w:val="single" w:sz="6" w:space="0" w:color="auto"/>
              <w:right w:val="single" w:sz="6" w:space="0" w:color="auto"/>
            </w:tcBorders>
          </w:tcPr>
          <w:p w:rsidR="001E1153" w:rsidRDefault="001E1153" w:rsidP="001E1153">
            <w:pPr>
              <w:autoSpaceDE w:val="0"/>
              <w:autoSpaceDN w:val="0"/>
              <w:adjustRightInd w:val="0"/>
              <w:rPr>
                <w:rFonts w:cs="Arial"/>
                <w:lang w:val="de-DE"/>
              </w:rPr>
            </w:pPr>
            <w:r w:rsidRPr="00D333A9">
              <w:rPr>
                <w:rFonts w:cs="Arial"/>
                <w:lang w:val="de-DE"/>
              </w:rPr>
              <w:t>Jugendliche</w:t>
            </w:r>
          </w:p>
          <w:p w:rsidR="0075118A" w:rsidRPr="00D333A9" w:rsidRDefault="0075118A" w:rsidP="001E1153">
            <w:pPr>
              <w:autoSpaceDE w:val="0"/>
              <w:autoSpaceDN w:val="0"/>
              <w:adjustRightInd w:val="0"/>
              <w:rPr>
                <w:rFonts w:cs="Arial"/>
                <w:lang w:val="en-GB"/>
              </w:rPr>
            </w:pPr>
          </w:p>
        </w:tc>
      </w:tr>
      <w:tr w:rsidR="00763FD8" w:rsidRPr="00D333A9" w:rsidTr="0075118A">
        <w:tc>
          <w:tcPr>
            <w:tcW w:w="1879" w:type="dxa"/>
            <w:tcBorders>
              <w:top w:val="single" w:sz="6" w:space="0" w:color="auto"/>
              <w:left w:val="single" w:sz="6" w:space="0" w:color="auto"/>
              <w:bottom w:val="single" w:sz="6" w:space="0" w:color="auto"/>
              <w:right w:val="single" w:sz="6" w:space="0" w:color="auto"/>
            </w:tcBorders>
          </w:tcPr>
          <w:p w:rsidR="00763FD8" w:rsidRPr="004558A2" w:rsidRDefault="00763FD8" w:rsidP="00763FD8">
            <w:pPr>
              <w:numPr>
                <w:ilvl w:val="0"/>
                <w:numId w:val="36"/>
              </w:numPr>
              <w:shd w:val="clear" w:color="auto" w:fill="FFFFFF"/>
              <w:spacing w:before="100" w:beforeAutospacing="1" w:after="24"/>
              <w:ind w:left="0"/>
              <w:jc w:val="left"/>
              <w:rPr>
                <w:rFonts w:cs="Arial"/>
                <w:lang w:val="nl-BE"/>
              </w:rPr>
            </w:pPr>
            <w:r w:rsidRPr="004558A2">
              <w:rPr>
                <w:rFonts w:cs="Arial"/>
                <w:lang w:val="nl-BE"/>
              </w:rPr>
              <w:t>Binge Drinking</w:t>
            </w:r>
          </w:p>
        </w:tc>
        <w:tc>
          <w:tcPr>
            <w:tcW w:w="245" w:type="dxa"/>
            <w:tcBorders>
              <w:top w:val="nil"/>
              <w:left w:val="single" w:sz="6" w:space="0" w:color="auto"/>
              <w:bottom w:val="nil"/>
              <w:right w:val="single" w:sz="6" w:space="0" w:color="auto"/>
            </w:tcBorders>
          </w:tcPr>
          <w:p w:rsidR="00763FD8" w:rsidRPr="004558A2" w:rsidRDefault="00763FD8" w:rsidP="00763FD8">
            <w:pPr>
              <w:autoSpaceDE w:val="0"/>
              <w:autoSpaceDN w:val="0"/>
              <w:adjustRightInd w:val="0"/>
              <w:rPr>
                <w:rFonts w:cs="Arial"/>
                <w:lang w:val="en-GB"/>
              </w:rPr>
            </w:pPr>
          </w:p>
        </w:tc>
        <w:tc>
          <w:tcPr>
            <w:tcW w:w="1696" w:type="dxa"/>
            <w:tcBorders>
              <w:top w:val="single" w:sz="6" w:space="0" w:color="auto"/>
              <w:left w:val="single" w:sz="6" w:space="0" w:color="auto"/>
              <w:bottom w:val="single" w:sz="6" w:space="0" w:color="auto"/>
              <w:right w:val="single" w:sz="6" w:space="0" w:color="auto"/>
            </w:tcBorders>
          </w:tcPr>
          <w:p w:rsidR="00763FD8" w:rsidRPr="004558A2" w:rsidRDefault="00763FD8" w:rsidP="00763FD8">
            <w:pPr>
              <w:autoSpaceDE w:val="0"/>
              <w:autoSpaceDN w:val="0"/>
              <w:adjustRightInd w:val="0"/>
              <w:rPr>
                <w:rFonts w:cs="Arial"/>
                <w:lang w:val="en-GB"/>
              </w:rPr>
            </w:pPr>
            <w:r w:rsidRPr="00643D9B">
              <w:rPr>
                <w:rFonts w:cs="Arial"/>
                <w:lang w:val="en-GB"/>
              </w:rPr>
              <w:t>Binge Drinking</w:t>
            </w:r>
          </w:p>
        </w:tc>
        <w:tc>
          <w:tcPr>
            <w:tcW w:w="2370" w:type="dxa"/>
            <w:tcBorders>
              <w:top w:val="single" w:sz="6" w:space="0" w:color="auto"/>
              <w:left w:val="single" w:sz="6" w:space="0" w:color="auto"/>
              <w:bottom w:val="single" w:sz="6" w:space="0" w:color="auto"/>
              <w:right w:val="single" w:sz="6" w:space="0" w:color="auto"/>
            </w:tcBorders>
          </w:tcPr>
          <w:p w:rsidR="00763FD8" w:rsidRPr="004558A2" w:rsidRDefault="00763FD8" w:rsidP="00763FD8">
            <w:pPr>
              <w:autoSpaceDE w:val="0"/>
              <w:autoSpaceDN w:val="0"/>
              <w:adjustRightInd w:val="0"/>
              <w:rPr>
                <w:rFonts w:cs="Arial"/>
              </w:rPr>
            </w:pPr>
            <w:proofErr w:type="spellStart"/>
            <w:r w:rsidRPr="00D070F9">
              <w:rPr>
                <w:rFonts w:cs="Arial"/>
              </w:rPr>
              <w:t>Bingedrinken</w:t>
            </w:r>
            <w:proofErr w:type="spellEnd"/>
          </w:p>
        </w:tc>
        <w:tc>
          <w:tcPr>
            <w:tcW w:w="1764" w:type="dxa"/>
            <w:tcBorders>
              <w:top w:val="single" w:sz="6" w:space="0" w:color="auto"/>
              <w:left w:val="single" w:sz="6" w:space="0" w:color="auto"/>
              <w:bottom w:val="single" w:sz="6" w:space="0" w:color="auto"/>
              <w:right w:val="single" w:sz="6" w:space="0" w:color="auto"/>
            </w:tcBorders>
          </w:tcPr>
          <w:p w:rsidR="00763FD8" w:rsidRPr="004558A2" w:rsidRDefault="00763FD8" w:rsidP="00763FD8">
            <w:pPr>
              <w:autoSpaceDE w:val="0"/>
              <w:autoSpaceDN w:val="0"/>
              <w:adjustRightInd w:val="0"/>
              <w:rPr>
                <w:rFonts w:cs="Arial"/>
                <w:lang w:val="en-GB"/>
              </w:rPr>
            </w:pPr>
            <w:proofErr w:type="spellStart"/>
            <w:r w:rsidRPr="00643D9B">
              <w:rPr>
                <w:rFonts w:cs="Arial"/>
                <w:lang w:val="en-GB"/>
              </w:rPr>
              <w:t>Biture</w:t>
            </w:r>
            <w:proofErr w:type="spellEnd"/>
            <w:r w:rsidRPr="00643D9B">
              <w:rPr>
                <w:rFonts w:cs="Arial"/>
                <w:lang w:val="en-GB"/>
              </w:rPr>
              <w:t xml:space="preserve"> express</w:t>
            </w:r>
          </w:p>
        </w:tc>
        <w:tc>
          <w:tcPr>
            <w:tcW w:w="1936" w:type="dxa"/>
            <w:tcBorders>
              <w:top w:val="single" w:sz="6" w:space="0" w:color="auto"/>
              <w:left w:val="single" w:sz="6" w:space="0" w:color="auto"/>
              <w:bottom w:val="single" w:sz="6" w:space="0" w:color="auto"/>
              <w:right w:val="single" w:sz="6" w:space="0" w:color="auto"/>
            </w:tcBorders>
          </w:tcPr>
          <w:p w:rsidR="00763FD8" w:rsidRPr="004558A2" w:rsidRDefault="00763FD8" w:rsidP="00763FD8">
            <w:pPr>
              <w:autoSpaceDE w:val="0"/>
              <w:autoSpaceDN w:val="0"/>
              <w:adjustRightInd w:val="0"/>
              <w:rPr>
                <w:rFonts w:cs="Arial"/>
                <w:lang w:val="de-DE"/>
              </w:rPr>
            </w:pPr>
            <w:proofErr w:type="spellStart"/>
            <w:r w:rsidRPr="00D070F9">
              <w:rPr>
                <w:lang w:val="en-GB"/>
              </w:rPr>
              <w:t>Rauschtrinken</w:t>
            </w:r>
            <w:proofErr w:type="spellEnd"/>
          </w:p>
        </w:tc>
      </w:tr>
    </w:tbl>
    <w:p w:rsidR="00D05542" w:rsidRDefault="00D05542" w:rsidP="001D0D2F">
      <w:pPr>
        <w:rPr>
          <w:i/>
          <w:sz w:val="16"/>
          <w:szCs w:val="16"/>
        </w:rPr>
      </w:pPr>
    </w:p>
    <w:p w:rsidR="001D0D2F" w:rsidRPr="000A362C" w:rsidRDefault="001D0D2F" w:rsidP="000A362C">
      <w:pPr>
        <w:spacing w:before="60"/>
        <w:rPr>
          <w:i/>
          <w:sz w:val="16"/>
          <w:szCs w:val="16"/>
        </w:rPr>
      </w:pPr>
      <w:proofErr w:type="spellStart"/>
      <w:r w:rsidRPr="000A362C">
        <w:rPr>
          <w:i/>
          <w:sz w:val="16"/>
          <w:szCs w:val="16"/>
        </w:rPr>
        <w:t>MeSH</w:t>
      </w:r>
      <w:proofErr w:type="spellEnd"/>
      <w:r w:rsidRPr="000A362C">
        <w:rPr>
          <w:i/>
          <w:sz w:val="16"/>
          <w:szCs w:val="16"/>
        </w:rPr>
        <w:t xml:space="preserve"> (Medical Subject Headings) is the NLM (National Library of Medicine) controlled vocabulary thesaurus used for indexing</w:t>
      </w:r>
    </w:p>
    <w:p w:rsidR="001D0D2F" w:rsidRPr="000A362C" w:rsidRDefault="001D0D2F" w:rsidP="000A362C">
      <w:pPr>
        <w:spacing w:before="60"/>
        <w:rPr>
          <w:i/>
          <w:sz w:val="16"/>
          <w:szCs w:val="16"/>
        </w:rPr>
      </w:pPr>
      <w:r w:rsidRPr="000A362C">
        <w:rPr>
          <w:i/>
          <w:sz w:val="16"/>
          <w:szCs w:val="16"/>
        </w:rPr>
        <w:t xml:space="preserve">articles for PubMed </w:t>
      </w:r>
      <w:hyperlink r:id="rId14" w:history="1">
        <w:r w:rsidRPr="000A362C">
          <w:rPr>
            <w:rStyle w:val="Lienhypertexte"/>
            <w:i/>
            <w:sz w:val="16"/>
            <w:szCs w:val="16"/>
          </w:rPr>
          <w:t>http://www.ncbi.nlm.nih.gov/mesh</w:t>
        </w:r>
      </w:hyperlink>
      <w:r w:rsidRPr="000A362C">
        <w:rPr>
          <w:i/>
          <w:sz w:val="16"/>
          <w:szCs w:val="16"/>
        </w:rPr>
        <w:t>.</w:t>
      </w:r>
    </w:p>
    <w:p w:rsidR="00284EB1" w:rsidRPr="00D333A9" w:rsidRDefault="00284EB1" w:rsidP="00284EB1"/>
    <w:p w:rsidR="00284EB1" w:rsidRPr="00D333A9" w:rsidRDefault="00284EB1" w:rsidP="00284EB1">
      <w:pPr>
        <w:autoSpaceDE w:val="0"/>
        <w:autoSpaceDN w:val="0"/>
        <w:adjustRightInd w:val="0"/>
        <w:rPr>
          <w:rFonts w:cs="Arial"/>
          <w:bCs/>
          <w:szCs w:val="24"/>
          <w:u w:val="single"/>
        </w:rPr>
      </w:pPr>
      <w:proofErr w:type="spellStart"/>
      <w:r w:rsidRPr="00D333A9">
        <w:rPr>
          <w:rFonts w:cs="Arial"/>
          <w:bCs/>
          <w:szCs w:val="24"/>
          <w:u w:val="single"/>
        </w:rPr>
        <w:t>Liste</w:t>
      </w:r>
      <w:proofErr w:type="spellEnd"/>
      <w:r w:rsidRPr="00D333A9">
        <w:rPr>
          <w:rFonts w:cs="Arial"/>
          <w:bCs/>
          <w:szCs w:val="24"/>
          <w:u w:val="single"/>
        </w:rPr>
        <w:t xml:space="preserve"> des </w:t>
      </w:r>
      <w:proofErr w:type="spellStart"/>
      <w:r w:rsidRPr="00D333A9">
        <w:rPr>
          <w:rFonts w:cs="Arial"/>
          <w:bCs/>
          <w:szCs w:val="24"/>
          <w:u w:val="single"/>
        </w:rPr>
        <w:t>abréviations</w:t>
      </w:r>
      <w:proofErr w:type="spellEnd"/>
      <w:r w:rsidRPr="00D333A9">
        <w:rPr>
          <w:rFonts w:cs="Arial"/>
          <w:bCs/>
          <w:szCs w:val="24"/>
          <w:u w:val="single"/>
        </w:rPr>
        <w:t xml:space="preserve"> </w:t>
      </w:r>
      <w:proofErr w:type="spellStart"/>
      <w:r w:rsidRPr="00D333A9">
        <w:rPr>
          <w:rFonts w:cs="Arial"/>
          <w:bCs/>
          <w:szCs w:val="24"/>
          <w:u w:val="single"/>
        </w:rPr>
        <w:t>utilisées</w:t>
      </w:r>
      <w:proofErr w:type="spellEnd"/>
    </w:p>
    <w:p w:rsidR="00545A54" w:rsidRPr="00D333A9" w:rsidRDefault="00545A54" w:rsidP="00545A54"/>
    <w:p w:rsidR="00545A54" w:rsidRPr="00D333A9" w:rsidRDefault="00545A54" w:rsidP="00545A54">
      <w:r w:rsidRPr="00D333A9">
        <w:t>AICR</w:t>
      </w:r>
      <w:r w:rsidR="00637087" w:rsidRPr="00D333A9">
        <w:tab/>
      </w:r>
      <w:r w:rsidR="002940D1" w:rsidRPr="00D333A9">
        <w:tab/>
      </w:r>
      <w:r w:rsidR="00637087" w:rsidRPr="00D333A9">
        <w:rPr>
          <w:bCs/>
          <w:i/>
        </w:rPr>
        <w:t>American Institute for Cancer Research</w:t>
      </w:r>
    </w:p>
    <w:p w:rsidR="00545A54" w:rsidRPr="00D333A9" w:rsidRDefault="00545A54" w:rsidP="00545A54">
      <w:r w:rsidRPr="00D333A9">
        <w:t>AVC</w:t>
      </w:r>
      <w:r w:rsidR="00637087" w:rsidRPr="00D333A9">
        <w:tab/>
      </w:r>
      <w:r w:rsidR="002940D1" w:rsidRPr="00D333A9">
        <w:tab/>
      </w:r>
      <w:r w:rsidR="00637087" w:rsidRPr="00D333A9">
        <w:t>A</w:t>
      </w:r>
      <w:r w:rsidR="00637087" w:rsidRPr="00D333A9">
        <w:rPr>
          <w:rFonts w:cs="Arial"/>
          <w:bCs/>
        </w:rPr>
        <w:t xml:space="preserve">ccident </w:t>
      </w:r>
      <w:proofErr w:type="spellStart"/>
      <w:r w:rsidR="00637087" w:rsidRPr="00D333A9">
        <w:rPr>
          <w:rFonts w:cs="Arial"/>
          <w:bCs/>
        </w:rPr>
        <w:t>vasculaire</w:t>
      </w:r>
      <w:proofErr w:type="spellEnd"/>
      <w:r w:rsidR="00637087" w:rsidRPr="00D333A9">
        <w:rPr>
          <w:rFonts w:cs="Arial"/>
          <w:bCs/>
        </w:rPr>
        <w:t xml:space="preserve"> </w:t>
      </w:r>
      <w:proofErr w:type="spellStart"/>
      <w:r w:rsidR="00637087" w:rsidRPr="00D333A9">
        <w:rPr>
          <w:rFonts w:cs="Arial"/>
          <w:bCs/>
        </w:rPr>
        <w:t>cérébral</w:t>
      </w:r>
      <w:proofErr w:type="spellEnd"/>
    </w:p>
    <w:p w:rsidR="00545A54" w:rsidRPr="00D333A9" w:rsidRDefault="00545A54" w:rsidP="00545A54">
      <w:r w:rsidRPr="00D333A9">
        <w:t>CAMH</w:t>
      </w:r>
      <w:r w:rsidR="00637087" w:rsidRPr="00D333A9">
        <w:tab/>
      </w:r>
      <w:r w:rsidR="002940D1" w:rsidRPr="00D333A9">
        <w:tab/>
      </w:r>
      <w:r w:rsidR="00637087" w:rsidRPr="00D333A9">
        <w:rPr>
          <w:rFonts w:cs="Arial"/>
          <w:bCs/>
          <w:i/>
        </w:rPr>
        <w:t>Centre for Addiction and Mental Health</w:t>
      </w:r>
    </w:p>
    <w:p w:rsidR="00746FC7" w:rsidRPr="00D333A9" w:rsidRDefault="00746FC7" w:rsidP="00545A54">
      <w:pPr>
        <w:rPr>
          <w:lang w:val="fr-BE"/>
        </w:rPr>
      </w:pPr>
      <w:r w:rsidRPr="00D333A9">
        <w:rPr>
          <w:lang w:val="fr-BE"/>
        </w:rPr>
        <w:t>CIRC</w:t>
      </w:r>
      <w:r w:rsidRPr="00D333A9">
        <w:rPr>
          <w:lang w:val="fr-BE"/>
        </w:rPr>
        <w:tab/>
      </w:r>
      <w:r w:rsidRPr="00D333A9">
        <w:rPr>
          <w:lang w:val="fr-BE"/>
        </w:rPr>
        <w:tab/>
        <w:t xml:space="preserve">Centre international de Recherche sur le Cancer </w:t>
      </w:r>
    </w:p>
    <w:p w:rsidR="00545A54" w:rsidRPr="00D333A9" w:rsidRDefault="00545A54" w:rsidP="00545A54">
      <w:pPr>
        <w:rPr>
          <w:lang w:val="fr-BE"/>
        </w:rPr>
      </w:pPr>
      <w:r w:rsidRPr="00D333A9">
        <w:rPr>
          <w:lang w:val="fr-BE"/>
        </w:rPr>
        <w:t>CSS</w:t>
      </w:r>
      <w:r w:rsidR="00637087" w:rsidRPr="00D333A9">
        <w:rPr>
          <w:lang w:val="fr-BE"/>
        </w:rPr>
        <w:tab/>
      </w:r>
      <w:r w:rsidR="002940D1" w:rsidRPr="00D333A9">
        <w:rPr>
          <w:lang w:val="fr-BE"/>
        </w:rPr>
        <w:tab/>
      </w:r>
      <w:r w:rsidR="00637087" w:rsidRPr="00D333A9">
        <w:rPr>
          <w:lang w:val="fr-BE"/>
        </w:rPr>
        <w:t>Conseil Supérieur de la Santé</w:t>
      </w:r>
    </w:p>
    <w:p w:rsidR="00545A54" w:rsidRPr="00D333A9" w:rsidRDefault="00545A54" w:rsidP="00545A54">
      <w:pPr>
        <w:rPr>
          <w:rFonts w:cs="Arial"/>
          <w:bCs/>
          <w:lang w:val="fr-BE"/>
        </w:rPr>
      </w:pPr>
      <w:r w:rsidRPr="00D333A9">
        <w:rPr>
          <w:lang w:val="fr-BE"/>
        </w:rPr>
        <w:t>DALY</w:t>
      </w:r>
      <w:r w:rsidR="00637087" w:rsidRPr="00D333A9">
        <w:rPr>
          <w:lang w:val="fr-BE"/>
        </w:rPr>
        <w:tab/>
      </w:r>
      <w:r w:rsidR="002940D1" w:rsidRPr="00D333A9">
        <w:rPr>
          <w:lang w:val="fr-BE"/>
        </w:rPr>
        <w:tab/>
      </w:r>
      <w:proofErr w:type="spellStart"/>
      <w:r w:rsidR="00637087" w:rsidRPr="00D333A9">
        <w:rPr>
          <w:bCs/>
          <w:i/>
          <w:lang w:val="fr-BE"/>
        </w:rPr>
        <w:t>Disability</w:t>
      </w:r>
      <w:proofErr w:type="spellEnd"/>
      <w:r w:rsidR="00637087" w:rsidRPr="00D333A9">
        <w:rPr>
          <w:bCs/>
          <w:i/>
          <w:lang w:val="fr-BE"/>
        </w:rPr>
        <w:t xml:space="preserve"> </w:t>
      </w:r>
      <w:proofErr w:type="spellStart"/>
      <w:r w:rsidR="00637087" w:rsidRPr="00D333A9">
        <w:rPr>
          <w:bCs/>
          <w:i/>
          <w:lang w:val="fr-BE"/>
        </w:rPr>
        <w:t>adjusted</w:t>
      </w:r>
      <w:proofErr w:type="spellEnd"/>
      <w:r w:rsidR="00637087" w:rsidRPr="00D333A9">
        <w:rPr>
          <w:bCs/>
          <w:i/>
          <w:lang w:val="fr-BE"/>
        </w:rPr>
        <w:t xml:space="preserve"> life </w:t>
      </w:r>
      <w:proofErr w:type="spellStart"/>
      <w:r w:rsidR="00637087" w:rsidRPr="00D333A9">
        <w:rPr>
          <w:rFonts w:cs="Arial"/>
          <w:bCs/>
          <w:i/>
          <w:lang w:val="fr-BE"/>
        </w:rPr>
        <w:t>years</w:t>
      </w:r>
      <w:proofErr w:type="spellEnd"/>
      <w:r w:rsidR="00837B7A" w:rsidRPr="00D333A9">
        <w:rPr>
          <w:rFonts w:cs="Arial"/>
          <w:bCs/>
          <w:lang w:val="fr-BE"/>
        </w:rPr>
        <w:t xml:space="preserve"> (a</w:t>
      </w:r>
      <w:r w:rsidR="00837B7A" w:rsidRPr="00D333A9">
        <w:rPr>
          <w:lang w:val="fr-BE"/>
        </w:rPr>
        <w:t>nnées de vie corrigées de l'incapacité)</w:t>
      </w:r>
    </w:p>
    <w:p w:rsidR="00545A54" w:rsidRPr="00D333A9" w:rsidRDefault="00545A54" w:rsidP="002940D1">
      <w:pPr>
        <w:ind w:left="1440" w:hanging="1440"/>
        <w:rPr>
          <w:rFonts w:cs="Arial"/>
          <w:bCs/>
          <w:lang w:val="fr-BE"/>
        </w:rPr>
      </w:pPr>
      <w:r w:rsidRPr="00D333A9">
        <w:rPr>
          <w:lang w:val="fr-BE"/>
        </w:rPr>
        <w:t>DSM</w:t>
      </w:r>
      <w:r w:rsidR="00637087" w:rsidRPr="00D333A9">
        <w:rPr>
          <w:lang w:val="fr-BE"/>
        </w:rPr>
        <w:tab/>
      </w:r>
      <w:r w:rsidR="002940D1" w:rsidRPr="00D333A9">
        <w:rPr>
          <w:bCs/>
          <w:i/>
          <w:lang w:val="fr-BE"/>
        </w:rPr>
        <w:t xml:space="preserve">Diagnostic and </w:t>
      </w:r>
      <w:proofErr w:type="spellStart"/>
      <w:r w:rsidR="002940D1" w:rsidRPr="00D333A9">
        <w:rPr>
          <w:bCs/>
          <w:i/>
          <w:lang w:val="fr-BE"/>
        </w:rPr>
        <w:t>Statistical</w:t>
      </w:r>
      <w:proofErr w:type="spellEnd"/>
      <w:r w:rsidR="002940D1" w:rsidRPr="00D333A9">
        <w:rPr>
          <w:bCs/>
          <w:i/>
          <w:lang w:val="fr-BE"/>
        </w:rPr>
        <w:t xml:space="preserve"> </w:t>
      </w:r>
      <w:proofErr w:type="spellStart"/>
      <w:r w:rsidR="002940D1" w:rsidRPr="00D333A9">
        <w:rPr>
          <w:bCs/>
          <w:i/>
          <w:lang w:val="fr-BE"/>
        </w:rPr>
        <w:t>Manual</w:t>
      </w:r>
      <w:proofErr w:type="spellEnd"/>
      <w:r w:rsidR="002940D1" w:rsidRPr="00D333A9">
        <w:rPr>
          <w:bCs/>
          <w:i/>
          <w:lang w:val="fr-BE"/>
        </w:rPr>
        <w:t xml:space="preserve"> of Mental </w:t>
      </w:r>
      <w:proofErr w:type="spellStart"/>
      <w:r w:rsidR="002940D1" w:rsidRPr="00D333A9">
        <w:rPr>
          <w:bCs/>
          <w:i/>
          <w:lang w:val="fr-BE"/>
        </w:rPr>
        <w:t>Disorders</w:t>
      </w:r>
      <w:proofErr w:type="spellEnd"/>
      <w:r w:rsidR="002940D1" w:rsidRPr="00D333A9">
        <w:rPr>
          <w:rFonts w:ascii="Helvetica" w:hAnsi="Helvetica"/>
          <w:color w:val="666666"/>
          <w:sz w:val="21"/>
          <w:szCs w:val="21"/>
          <w:shd w:val="clear" w:color="auto" w:fill="FFFFFF"/>
          <w:lang w:val="fr-BE"/>
        </w:rPr>
        <w:t xml:space="preserve"> (</w:t>
      </w:r>
      <w:r w:rsidR="00637087" w:rsidRPr="00D333A9">
        <w:rPr>
          <w:rFonts w:cs="Arial"/>
          <w:bCs/>
          <w:lang w:val="fr-BE"/>
        </w:rPr>
        <w:t>Manuel diagnostique et statistique des troubles mentaux</w:t>
      </w:r>
      <w:r w:rsidR="002940D1" w:rsidRPr="00D333A9">
        <w:rPr>
          <w:rFonts w:cs="Arial"/>
          <w:bCs/>
          <w:lang w:val="fr-BE"/>
        </w:rPr>
        <w:t>)</w:t>
      </w:r>
    </w:p>
    <w:p w:rsidR="00C74BDE" w:rsidRPr="00D333A9" w:rsidRDefault="00C74BDE" w:rsidP="00545A54">
      <w:pPr>
        <w:rPr>
          <w:rFonts w:cs="Arial"/>
          <w:bCs/>
          <w:lang w:val="fr-BE"/>
        </w:rPr>
      </w:pPr>
      <w:r w:rsidRPr="00D333A9">
        <w:rPr>
          <w:lang w:val="fr-BE"/>
        </w:rPr>
        <w:t>HR</w:t>
      </w:r>
      <w:r w:rsidRPr="00D333A9">
        <w:rPr>
          <w:lang w:val="fr-BE"/>
        </w:rPr>
        <w:tab/>
      </w:r>
      <w:r w:rsidRPr="00D333A9">
        <w:rPr>
          <w:lang w:val="fr-BE"/>
        </w:rPr>
        <w:tab/>
      </w:r>
      <w:r w:rsidRPr="00D333A9">
        <w:rPr>
          <w:i/>
          <w:lang w:val="fr-BE"/>
        </w:rPr>
        <w:t>Hazard Ratio</w:t>
      </w:r>
    </w:p>
    <w:p w:rsidR="00837B7A" w:rsidRPr="00D333A9" w:rsidRDefault="00837B7A" w:rsidP="00545A54">
      <w:pPr>
        <w:rPr>
          <w:rFonts w:cs="Arial"/>
          <w:bCs/>
          <w:lang w:val="fr-BE"/>
        </w:rPr>
      </w:pPr>
      <w:r w:rsidRPr="00D333A9">
        <w:rPr>
          <w:rFonts w:cs="Arial"/>
          <w:bCs/>
          <w:lang w:val="fr-BE"/>
        </w:rPr>
        <w:t>IC</w:t>
      </w:r>
      <w:r w:rsidRPr="00D333A9">
        <w:rPr>
          <w:rFonts w:cs="Arial"/>
          <w:bCs/>
          <w:lang w:val="fr-BE"/>
        </w:rPr>
        <w:tab/>
      </w:r>
      <w:r w:rsidRPr="00D333A9">
        <w:rPr>
          <w:rFonts w:cs="Arial"/>
          <w:bCs/>
          <w:lang w:val="fr-BE"/>
        </w:rPr>
        <w:tab/>
        <w:t>Intervalle de confiance</w:t>
      </w:r>
    </w:p>
    <w:p w:rsidR="00545A54" w:rsidRPr="00D333A9" w:rsidRDefault="00545A54" w:rsidP="00545A54">
      <w:pPr>
        <w:rPr>
          <w:rFonts w:cs="Arial"/>
          <w:bCs/>
        </w:rPr>
      </w:pPr>
      <w:r w:rsidRPr="00D333A9">
        <w:rPr>
          <w:rFonts w:cs="Arial"/>
          <w:bCs/>
        </w:rPr>
        <w:t>ICD</w:t>
      </w:r>
      <w:r w:rsidR="003A560B" w:rsidRPr="00D333A9">
        <w:rPr>
          <w:rFonts w:cs="Arial"/>
          <w:bCs/>
        </w:rPr>
        <w:tab/>
      </w:r>
      <w:r w:rsidR="002940D1" w:rsidRPr="00D333A9">
        <w:rPr>
          <w:rFonts w:cs="Arial"/>
          <w:bCs/>
        </w:rPr>
        <w:tab/>
      </w:r>
      <w:r w:rsidR="003A560B" w:rsidRPr="00D333A9">
        <w:rPr>
          <w:rFonts w:cs="Arial"/>
          <w:bCs/>
          <w:i/>
        </w:rPr>
        <w:t>International Statistical Classification of Diseases</w:t>
      </w:r>
    </w:p>
    <w:p w:rsidR="00545A54" w:rsidRPr="00D333A9" w:rsidRDefault="00545A54" w:rsidP="00545A54">
      <w:pPr>
        <w:rPr>
          <w:rFonts w:cs="Arial"/>
          <w:bCs/>
          <w:lang w:val="fr-BE"/>
        </w:rPr>
      </w:pPr>
      <w:r w:rsidRPr="00D333A9">
        <w:rPr>
          <w:rFonts w:cs="Arial"/>
          <w:bCs/>
          <w:lang w:val="fr-BE"/>
        </w:rPr>
        <w:t>ISP</w:t>
      </w:r>
      <w:r w:rsidR="00637087" w:rsidRPr="00D333A9">
        <w:rPr>
          <w:rFonts w:cs="Arial"/>
          <w:bCs/>
          <w:lang w:val="fr-BE"/>
        </w:rPr>
        <w:tab/>
      </w:r>
      <w:r w:rsidR="002940D1" w:rsidRPr="00D333A9">
        <w:rPr>
          <w:rFonts w:cs="Arial"/>
          <w:bCs/>
          <w:lang w:val="fr-BE"/>
        </w:rPr>
        <w:tab/>
      </w:r>
      <w:r w:rsidR="00637087" w:rsidRPr="00D333A9">
        <w:rPr>
          <w:rFonts w:cs="Arial"/>
          <w:bCs/>
          <w:lang w:val="fr-BE"/>
        </w:rPr>
        <w:t>Institut Scientifique de Santé publique</w:t>
      </w:r>
    </w:p>
    <w:p w:rsidR="00545A54" w:rsidRPr="00D333A9" w:rsidRDefault="00545A54" w:rsidP="00545A54">
      <w:pPr>
        <w:rPr>
          <w:rFonts w:cs="Arial"/>
          <w:bCs/>
          <w:lang w:val="fr-BE"/>
        </w:rPr>
      </w:pPr>
      <w:r w:rsidRPr="00D333A9">
        <w:rPr>
          <w:rFonts w:cs="Arial"/>
          <w:bCs/>
          <w:lang w:val="fr-BE"/>
        </w:rPr>
        <w:t>OMS</w:t>
      </w:r>
      <w:r w:rsidR="003A560B" w:rsidRPr="00D333A9">
        <w:rPr>
          <w:rFonts w:cs="Arial"/>
          <w:bCs/>
          <w:lang w:val="fr-BE"/>
        </w:rPr>
        <w:tab/>
      </w:r>
      <w:r w:rsidR="002940D1" w:rsidRPr="00D333A9">
        <w:rPr>
          <w:rFonts w:cs="Arial"/>
          <w:bCs/>
          <w:lang w:val="fr-BE"/>
        </w:rPr>
        <w:tab/>
      </w:r>
      <w:r w:rsidR="003A560B" w:rsidRPr="00D333A9">
        <w:rPr>
          <w:rFonts w:cs="Arial"/>
          <w:bCs/>
          <w:lang w:val="fr-BE"/>
        </w:rPr>
        <w:t>Organisation Mondiale de la Santé</w:t>
      </w:r>
      <w:r w:rsidR="003A560B" w:rsidRPr="00D333A9">
        <w:rPr>
          <w:rFonts w:cs="Arial"/>
          <w:bCs/>
          <w:lang w:val="fr-BE"/>
        </w:rPr>
        <w:tab/>
      </w:r>
    </w:p>
    <w:p w:rsidR="00545A54" w:rsidRPr="00D333A9" w:rsidRDefault="00545A54" w:rsidP="00545A54">
      <w:pPr>
        <w:rPr>
          <w:rFonts w:cs="Arial"/>
          <w:bCs/>
        </w:rPr>
      </w:pPr>
      <w:r w:rsidRPr="00D333A9">
        <w:rPr>
          <w:rFonts w:cs="Arial"/>
          <w:bCs/>
        </w:rPr>
        <w:t>RARHA</w:t>
      </w:r>
      <w:r w:rsidR="00637087" w:rsidRPr="00D333A9">
        <w:rPr>
          <w:rFonts w:cs="Arial"/>
          <w:bCs/>
        </w:rPr>
        <w:tab/>
      </w:r>
      <w:r w:rsidR="00637087" w:rsidRPr="00D333A9">
        <w:rPr>
          <w:rFonts w:cs="Arial"/>
          <w:bCs/>
          <w:i/>
        </w:rPr>
        <w:t>Reducing alcohol related harm</w:t>
      </w:r>
      <w:r w:rsidR="00637087" w:rsidRPr="00D333A9">
        <w:rPr>
          <w:rFonts w:cs="Arial"/>
          <w:bCs/>
        </w:rPr>
        <w:t> </w:t>
      </w:r>
    </w:p>
    <w:p w:rsidR="00545A54" w:rsidRPr="00D333A9" w:rsidRDefault="00545A54" w:rsidP="00637087">
      <w:pPr>
        <w:tabs>
          <w:tab w:val="left" w:pos="990"/>
        </w:tabs>
        <w:rPr>
          <w:rFonts w:cs="Arial"/>
          <w:bCs/>
        </w:rPr>
      </w:pPr>
      <w:r w:rsidRPr="00D333A9">
        <w:rPr>
          <w:rFonts w:cs="Arial"/>
          <w:bCs/>
        </w:rPr>
        <w:t>RCT</w:t>
      </w:r>
      <w:r w:rsidR="003A560B" w:rsidRPr="00D333A9">
        <w:rPr>
          <w:rFonts w:cs="Arial"/>
          <w:bCs/>
        </w:rPr>
        <w:tab/>
      </w:r>
      <w:r w:rsidR="002940D1" w:rsidRPr="00D333A9">
        <w:rPr>
          <w:rFonts w:cs="Arial"/>
          <w:bCs/>
        </w:rPr>
        <w:tab/>
      </w:r>
      <w:r w:rsidR="003A560B" w:rsidRPr="00D333A9">
        <w:rPr>
          <w:rFonts w:cs="Arial"/>
          <w:bCs/>
          <w:i/>
        </w:rPr>
        <w:t>R</w:t>
      </w:r>
      <w:r w:rsidR="00893592" w:rsidRPr="00D333A9">
        <w:rPr>
          <w:rFonts w:cs="Arial"/>
          <w:bCs/>
          <w:i/>
        </w:rPr>
        <w:t>andomized controlled trial</w:t>
      </w:r>
      <w:r w:rsidR="00893592" w:rsidRPr="00D333A9">
        <w:rPr>
          <w:rFonts w:cs="Arial"/>
          <w:bCs/>
        </w:rPr>
        <w:t> </w:t>
      </w:r>
      <w:r w:rsidR="002940D1" w:rsidRPr="00D333A9">
        <w:rPr>
          <w:rFonts w:cs="Arial"/>
          <w:bCs/>
        </w:rPr>
        <w:t>(</w:t>
      </w:r>
      <w:proofErr w:type="spellStart"/>
      <w:r w:rsidR="002940D1" w:rsidRPr="00D333A9">
        <w:rPr>
          <w:rFonts w:cs="Arial"/>
          <w:bCs/>
        </w:rPr>
        <w:t>essai</w:t>
      </w:r>
      <w:proofErr w:type="spellEnd"/>
      <w:r w:rsidR="002940D1" w:rsidRPr="00D333A9">
        <w:rPr>
          <w:rFonts w:cs="Arial"/>
          <w:bCs/>
        </w:rPr>
        <w:t xml:space="preserve"> </w:t>
      </w:r>
      <w:proofErr w:type="spellStart"/>
      <w:r w:rsidR="002940D1" w:rsidRPr="00D333A9">
        <w:rPr>
          <w:rFonts w:cs="Arial"/>
          <w:bCs/>
        </w:rPr>
        <w:t>randomisé</w:t>
      </w:r>
      <w:proofErr w:type="spellEnd"/>
      <w:r w:rsidR="002940D1" w:rsidRPr="00D333A9">
        <w:rPr>
          <w:rFonts w:cs="Arial"/>
          <w:bCs/>
        </w:rPr>
        <w:t xml:space="preserve"> </w:t>
      </w:r>
      <w:proofErr w:type="spellStart"/>
      <w:r w:rsidR="002940D1" w:rsidRPr="00D333A9">
        <w:rPr>
          <w:rFonts w:cs="Arial"/>
          <w:bCs/>
        </w:rPr>
        <w:t>contrôlé</w:t>
      </w:r>
      <w:proofErr w:type="spellEnd"/>
      <w:r w:rsidR="002940D1" w:rsidRPr="00D333A9">
        <w:rPr>
          <w:rFonts w:cs="Arial"/>
          <w:bCs/>
        </w:rPr>
        <w:t>)</w:t>
      </w:r>
    </w:p>
    <w:p w:rsidR="00746FC7" w:rsidRPr="00D333A9" w:rsidRDefault="00746FC7" w:rsidP="00637087">
      <w:pPr>
        <w:tabs>
          <w:tab w:val="left" w:pos="990"/>
        </w:tabs>
        <w:rPr>
          <w:rFonts w:cs="Arial"/>
          <w:bCs/>
          <w:lang w:val="nl-NL"/>
        </w:rPr>
      </w:pPr>
      <w:r w:rsidRPr="00D333A9">
        <w:rPr>
          <w:rFonts w:cs="Arial"/>
          <w:bCs/>
          <w:lang w:val="nl-NL"/>
        </w:rPr>
        <w:t>RR</w:t>
      </w:r>
      <w:r w:rsidRPr="00D333A9">
        <w:rPr>
          <w:rFonts w:cs="Arial"/>
          <w:bCs/>
          <w:lang w:val="nl-NL"/>
        </w:rPr>
        <w:tab/>
      </w:r>
      <w:r w:rsidRPr="00D333A9">
        <w:rPr>
          <w:rFonts w:cs="Arial"/>
          <w:bCs/>
          <w:lang w:val="nl-NL"/>
        </w:rPr>
        <w:tab/>
      </w:r>
      <w:proofErr w:type="spellStart"/>
      <w:r w:rsidRPr="00D333A9">
        <w:rPr>
          <w:rFonts w:cs="Arial"/>
          <w:bCs/>
          <w:lang w:val="nl-NL"/>
        </w:rPr>
        <w:t>Risque</w:t>
      </w:r>
      <w:proofErr w:type="spellEnd"/>
      <w:r w:rsidRPr="00D333A9">
        <w:rPr>
          <w:rFonts w:cs="Arial"/>
          <w:bCs/>
          <w:lang w:val="nl-NL"/>
        </w:rPr>
        <w:t xml:space="preserve"> </w:t>
      </w:r>
      <w:proofErr w:type="spellStart"/>
      <w:r w:rsidRPr="00D333A9">
        <w:rPr>
          <w:rFonts w:cs="Arial"/>
          <w:bCs/>
          <w:lang w:val="nl-NL"/>
        </w:rPr>
        <w:t>relatif</w:t>
      </w:r>
      <w:proofErr w:type="spellEnd"/>
    </w:p>
    <w:p w:rsidR="00545A54" w:rsidRPr="00D333A9" w:rsidRDefault="00545A54" w:rsidP="00545A54">
      <w:pPr>
        <w:rPr>
          <w:rFonts w:cs="Arial"/>
          <w:bCs/>
          <w:lang w:val="nl-NL"/>
        </w:rPr>
      </w:pPr>
      <w:r w:rsidRPr="00D333A9">
        <w:rPr>
          <w:rFonts w:cs="Arial"/>
          <w:bCs/>
          <w:lang w:val="nl-NL"/>
        </w:rPr>
        <w:t>VAD</w:t>
      </w:r>
      <w:r w:rsidR="003A560B" w:rsidRPr="00D333A9">
        <w:rPr>
          <w:rFonts w:cs="Arial"/>
          <w:bCs/>
          <w:lang w:val="nl-NL"/>
        </w:rPr>
        <w:tab/>
      </w:r>
      <w:r w:rsidR="002940D1" w:rsidRPr="00D333A9">
        <w:rPr>
          <w:rFonts w:cs="Arial"/>
          <w:bCs/>
          <w:lang w:val="nl-NL"/>
        </w:rPr>
        <w:tab/>
      </w:r>
      <w:r w:rsidR="003A560B" w:rsidRPr="00D333A9">
        <w:rPr>
          <w:rFonts w:cs="Arial"/>
          <w:bCs/>
          <w:i/>
          <w:lang w:val="nl-NL"/>
        </w:rPr>
        <w:t>Vlaams Expertisecentrum Alcohol en andere Drugs</w:t>
      </w:r>
    </w:p>
    <w:p w:rsidR="002940D1" w:rsidRDefault="002940D1"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9B295D" w:rsidRDefault="009B295D" w:rsidP="003A560B">
      <w:pPr>
        <w:jc w:val="left"/>
        <w:rPr>
          <w:rFonts w:cs="Arial"/>
          <w:bCs/>
          <w:i/>
          <w:lang w:val="nl-NL"/>
        </w:rPr>
      </w:pPr>
    </w:p>
    <w:p w:rsidR="00650425" w:rsidRPr="00D333A9" w:rsidRDefault="00650425" w:rsidP="003A560B">
      <w:pPr>
        <w:jc w:val="left"/>
        <w:rPr>
          <w:rFonts w:cs="Arial"/>
          <w:bCs/>
          <w:i/>
          <w:lang w:val="nl-NL"/>
        </w:rPr>
      </w:pPr>
    </w:p>
    <w:p w:rsidR="00B103D6" w:rsidRPr="00D333A9" w:rsidRDefault="005B1915" w:rsidP="00B103D6">
      <w:pPr>
        <w:pStyle w:val="Titre1"/>
        <w:rPr>
          <w:lang w:val="fr-BE"/>
        </w:rPr>
      </w:pPr>
      <w:r w:rsidRPr="00D333A9">
        <w:rPr>
          <w:lang w:val="fr-BE"/>
        </w:rPr>
        <w:t>ME</w:t>
      </w:r>
      <w:r w:rsidR="00B103D6" w:rsidRPr="00D333A9">
        <w:rPr>
          <w:lang w:val="fr-BE"/>
        </w:rPr>
        <w:t>thodologie</w:t>
      </w:r>
    </w:p>
    <w:p w:rsidR="00B103D6" w:rsidRPr="00D333A9" w:rsidRDefault="00B103D6" w:rsidP="00B103D6">
      <w:pPr>
        <w:autoSpaceDE w:val="0"/>
        <w:autoSpaceDN w:val="0"/>
        <w:adjustRightInd w:val="0"/>
        <w:rPr>
          <w:rFonts w:cs="Arial"/>
          <w:bCs/>
          <w:szCs w:val="24"/>
          <w:lang w:val="fr-BE"/>
        </w:rPr>
      </w:pPr>
      <w:r w:rsidRPr="00D333A9">
        <w:rPr>
          <w:rFonts w:cs="Arial"/>
          <w:bCs/>
          <w:szCs w:val="24"/>
          <w:lang w:val="fr-BE"/>
        </w:rPr>
        <w:t xml:space="preserve">Après analyse de la demande, le Collège et le président du groupe de travail ont identifié les expertises nécessaires. Sur cette base, un groupe de travail </w:t>
      </w:r>
      <w:r w:rsidRPr="00D333A9">
        <w:rPr>
          <w:rFonts w:cs="Arial"/>
          <w:bCs/>
          <w:i/>
          <w:szCs w:val="24"/>
          <w:lang w:val="fr-BE"/>
        </w:rPr>
        <w:t>ad hoc</w:t>
      </w:r>
      <w:r w:rsidRPr="00D333A9">
        <w:rPr>
          <w:rFonts w:cs="Arial"/>
          <w:bCs/>
          <w:szCs w:val="24"/>
          <w:lang w:val="fr-BE"/>
        </w:rPr>
        <w:t xml:space="preserve"> a été constitué, au sein duquel des expertises en </w:t>
      </w:r>
      <w:r w:rsidR="00722DDF" w:rsidRPr="00D333A9">
        <w:rPr>
          <w:rFonts w:cs="Arial"/>
          <w:bCs/>
          <w:szCs w:val="24"/>
          <w:lang w:val="fr-BE"/>
        </w:rPr>
        <w:t>cardiologie, hépatologie, gastro-entérologie, médecine</w:t>
      </w:r>
      <w:r w:rsidR="00B301AF" w:rsidRPr="00D333A9">
        <w:rPr>
          <w:rFonts w:cs="Arial"/>
          <w:bCs/>
          <w:szCs w:val="24"/>
          <w:lang w:val="fr-BE"/>
        </w:rPr>
        <w:t xml:space="preserve"> générale</w:t>
      </w:r>
      <w:r w:rsidR="00722DDF" w:rsidRPr="00D333A9">
        <w:rPr>
          <w:rFonts w:cs="Arial"/>
          <w:bCs/>
          <w:szCs w:val="24"/>
          <w:lang w:val="fr-BE"/>
        </w:rPr>
        <w:t xml:space="preserve">, </w:t>
      </w:r>
      <w:r w:rsidR="000F3C6A" w:rsidRPr="00D333A9">
        <w:rPr>
          <w:rFonts w:cs="Arial"/>
          <w:bCs/>
          <w:szCs w:val="24"/>
          <w:lang w:val="fr-BE"/>
        </w:rPr>
        <w:t xml:space="preserve">prévention, </w:t>
      </w:r>
      <w:r w:rsidR="00722DDF" w:rsidRPr="00D333A9">
        <w:rPr>
          <w:rFonts w:cs="Arial"/>
          <w:bCs/>
          <w:szCs w:val="24"/>
          <w:lang w:val="fr-BE"/>
        </w:rPr>
        <w:t>psychologie, psychiatrie</w:t>
      </w:r>
      <w:r w:rsidR="003116B8" w:rsidRPr="00D333A9">
        <w:rPr>
          <w:rFonts w:cs="Arial"/>
          <w:bCs/>
          <w:szCs w:val="24"/>
          <w:lang w:val="fr-BE"/>
        </w:rPr>
        <w:t>, santé publique</w:t>
      </w:r>
      <w:r w:rsidR="00722DDF" w:rsidRPr="00D333A9">
        <w:rPr>
          <w:rFonts w:cs="Arial"/>
          <w:bCs/>
          <w:szCs w:val="24"/>
          <w:lang w:val="fr-BE"/>
        </w:rPr>
        <w:t xml:space="preserve"> </w:t>
      </w:r>
      <w:r w:rsidRPr="00D333A9">
        <w:rPr>
          <w:rFonts w:cs="Arial"/>
          <w:bCs/>
          <w:szCs w:val="24"/>
          <w:lang w:val="fr-BE"/>
        </w:rPr>
        <w:t xml:space="preserve">étaient représentées. Les experts de ce groupe ont rempli une déclaration générale et </w:t>
      </w:r>
      <w:r w:rsidRPr="00D333A9">
        <w:rPr>
          <w:rFonts w:cs="Arial"/>
          <w:bCs/>
          <w:i/>
          <w:szCs w:val="24"/>
          <w:lang w:val="fr-BE"/>
        </w:rPr>
        <w:t>ad hoc</w:t>
      </w:r>
      <w:r w:rsidRPr="00D333A9">
        <w:rPr>
          <w:rFonts w:cs="Arial"/>
          <w:bCs/>
          <w:szCs w:val="24"/>
          <w:lang w:val="fr-BE"/>
        </w:rPr>
        <w:t xml:space="preserve"> d’intérêts et la Commission de Déontologie a évalué le risque potentiel de conflits d’intérêts.</w:t>
      </w:r>
    </w:p>
    <w:p w:rsidR="00B103D6" w:rsidRPr="00D333A9" w:rsidRDefault="00B103D6" w:rsidP="00B103D6">
      <w:pPr>
        <w:autoSpaceDE w:val="0"/>
        <w:autoSpaceDN w:val="0"/>
        <w:adjustRightInd w:val="0"/>
        <w:rPr>
          <w:rFonts w:cs="Arial"/>
          <w:bCs/>
          <w:szCs w:val="24"/>
          <w:lang w:val="fr-BE"/>
        </w:rPr>
      </w:pPr>
    </w:p>
    <w:p w:rsidR="001769A7" w:rsidRPr="00D333A9" w:rsidRDefault="00B103D6" w:rsidP="00D02138">
      <w:pPr>
        <w:rPr>
          <w:lang w:val="fr-BE"/>
        </w:rPr>
      </w:pPr>
      <w:r w:rsidRPr="00D333A9">
        <w:rPr>
          <w:rFonts w:cs="Arial"/>
          <w:bCs/>
          <w:szCs w:val="24"/>
          <w:lang w:val="fr-BE"/>
        </w:rPr>
        <w:t>L’avis est basé sur une revue</w:t>
      </w:r>
      <w:r w:rsidRPr="00D333A9">
        <w:rPr>
          <w:rFonts w:cs="Arial"/>
          <w:bCs/>
          <w:i/>
          <w:sz w:val="18"/>
          <w:szCs w:val="18"/>
          <w:lang w:val="fr-BE"/>
        </w:rPr>
        <w:t xml:space="preserve"> </w:t>
      </w:r>
      <w:r w:rsidRPr="00D333A9">
        <w:rPr>
          <w:rFonts w:cs="Arial"/>
          <w:bCs/>
          <w:szCs w:val="24"/>
          <w:lang w:val="fr-BE"/>
        </w:rPr>
        <w:t>de la littérature scientifique, publiée à la fois dans des journaux scientifiques et des rapports d’organisations nationales et internation</w:t>
      </w:r>
      <w:r w:rsidR="00D02138" w:rsidRPr="00D333A9">
        <w:rPr>
          <w:rFonts w:cs="Arial"/>
          <w:bCs/>
          <w:szCs w:val="24"/>
          <w:lang w:val="fr-BE"/>
        </w:rPr>
        <w:t xml:space="preserve">ales compétentes en la matière, </w:t>
      </w:r>
      <w:r w:rsidRPr="00D333A9">
        <w:rPr>
          <w:rFonts w:cs="Arial"/>
          <w:bCs/>
          <w:szCs w:val="24"/>
          <w:lang w:val="fr-BE"/>
        </w:rPr>
        <w:t>ainsi que sur l’opinion des experts.</w:t>
      </w:r>
      <w:r w:rsidR="00D02138" w:rsidRPr="00D333A9">
        <w:rPr>
          <w:rFonts w:cs="Arial"/>
          <w:bCs/>
          <w:szCs w:val="24"/>
          <w:lang w:val="fr-BE"/>
        </w:rPr>
        <w:t xml:space="preserve"> </w:t>
      </w:r>
      <w:r w:rsidR="001769A7" w:rsidRPr="00D333A9">
        <w:rPr>
          <w:rFonts w:cs="Arial"/>
          <w:bCs/>
          <w:szCs w:val="24"/>
          <w:lang w:val="fr-BE"/>
        </w:rPr>
        <w:t xml:space="preserve">Plus spécifiquement, les experts du CSS ont été amené à tenir compte des résultats </w:t>
      </w:r>
      <w:r w:rsidR="00D02138" w:rsidRPr="00D333A9">
        <w:rPr>
          <w:lang w:val="fr-BE"/>
        </w:rPr>
        <w:t>de la recherche européenne concernant la réduction des dommages liés à l’alcool (</w:t>
      </w:r>
      <w:proofErr w:type="spellStart"/>
      <w:r w:rsidR="00D02138" w:rsidRPr="00D333A9">
        <w:rPr>
          <w:i/>
          <w:lang w:val="fr-BE"/>
        </w:rPr>
        <w:t>Reducing</w:t>
      </w:r>
      <w:proofErr w:type="spellEnd"/>
      <w:r w:rsidR="00D02138" w:rsidRPr="00D333A9">
        <w:rPr>
          <w:i/>
          <w:lang w:val="fr-BE"/>
        </w:rPr>
        <w:t xml:space="preserve"> </w:t>
      </w:r>
      <w:proofErr w:type="spellStart"/>
      <w:r w:rsidR="00D02138" w:rsidRPr="00D333A9">
        <w:rPr>
          <w:i/>
          <w:lang w:val="fr-BE"/>
        </w:rPr>
        <w:t>alcohol</w:t>
      </w:r>
      <w:proofErr w:type="spellEnd"/>
      <w:r w:rsidR="00D02138" w:rsidRPr="00D333A9">
        <w:rPr>
          <w:i/>
          <w:lang w:val="fr-BE"/>
        </w:rPr>
        <w:t xml:space="preserve"> </w:t>
      </w:r>
      <w:proofErr w:type="spellStart"/>
      <w:r w:rsidR="00D02138" w:rsidRPr="00D333A9">
        <w:rPr>
          <w:i/>
          <w:lang w:val="fr-BE"/>
        </w:rPr>
        <w:t>related</w:t>
      </w:r>
      <w:proofErr w:type="spellEnd"/>
      <w:r w:rsidR="00D02138" w:rsidRPr="00D333A9">
        <w:rPr>
          <w:i/>
          <w:lang w:val="fr-BE"/>
        </w:rPr>
        <w:t xml:space="preserve"> </w:t>
      </w:r>
      <w:proofErr w:type="spellStart"/>
      <w:r w:rsidR="00D02138" w:rsidRPr="00D333A9">
        <w:rPr>
          <w:i/>
          <w:lang w:val="fr-BE"/>
        </w:rPr>
        <w:t>harm</w:t>
      </w:r>
      <w:proofErr w:type="spellEnd"/>
      <w:r w:rsidR="00D02138" w:rsidRPr="00D333A9">
        <w:rPr>
          <w:lang w:val="fr-BE"/>
        </w:rPr>
        <w:t xml:space="preserve"> ; </w:t>
      </w:r>
    </w:p>
    <w:p w:rsidR="00D02138" w:rsidRDefault="00D02138" w:rsidP="00D02138">
      <w:pPr>
        <w:rPr>
          <w:lang w:val="fr-BE"/>
        </w:rPr>
      </w:pPr>
      <w:r w:rsidRPr="00D333A9">
        <w:rPr>
          <w:lang w:val="fr-BE"/>
        </w:rPr>
        <w:t>RARHA: </w:t>
      </w:r>
      <w:hyperlink r:id="rId15" w:history="1">
        <w:r w:rsidRPr="00D333A9">
          <w:rPr>
            <w:rStyle w:val="Lienhypertexte"/>
            <w:lang w:val="fr-BE"/>
          </w:rPr>
          <w:t>http://ec.europa.eu/health/alcohol/docs/eu_scoping_paper_cnapa_en.pdf</w:t>
        </w:r>
      </w:hyperlink>
      <w:r w:rsidR="001769A7" w:rsidRPr="00D333A9">
        <w:rPr>
          <w:lang w:val="fr-BE"/>
        </w:rPr>
        <w:t>), conformément à ce qui a été suggéré par la Ministre dans la demande d’avis.</w:t>
      </w:r>
      <w:r w:rsidRPr="00D333A9">
        <w:rPr>
          <w:lang w:val="fr-BE"/>
        </w:rPr>
        <w:t xml:space="preserve"> </w:t>
      </w:r>
    </w:p>
    <w:p w:rsidR="00862521" w:rsidRDefault="00862521" w:rsidP="00862521">
      <w:pPr>
        <w:rPr>
          <w:lang w:val="fr-BE"/>
        </w:rPr>
      </w:pPr>
      <w:r w:rsidRPr="00CB21B0">
        <w:rPr>
          <w:lang w:val="fr-BE"/>
        </w:rPr>
        <w:t xml:space="preserve">Le groupe de travail </w:t>
      </w:r>
      <w:r>
        <w:rPr>
          <w:lang w:val="fr-BE"/>
        </w:rPr>
        <w:t xml:space="preserve">a </w:t>
      </w:r>
      <w:r w:rsidRPr="00CB21B0">
        <w:rPr>
          <w:lang w:val="fr-BE"/>
        </w:rPr>
        <w:t xml:space="preserve">rassemblé les différents rapports et directives publiés sur le sujet en Belgique et à l’étranger ces dernières années. Plusieurs rapports ont </w:t>
      </w:r>
      <w:r>
        <w:rPr>
          <w:lang w:val="fr-BE"/>
        </w:rPr>
        <w:t>été</w:t>
      </w:r>
      <w:r w:rsidRPr="00CB21B0">
        <w:rPr>
          <w:lang w:val="fr-BE"/>
        </w:rPr>
        <w:t xml:space="preserve"> utilisés comme base de travai</w:t>
      </w:r>
      <w:r w:rsidRPr="00862521">
        <w:rPr>
          <w:lang w:val="fr-BE"/>
        </w:rPr>
        <w:t>l</w:t>
      </w:r>
      <w:r w:rsidRPr="00CB21B0">
        <w:rPr>
          <w:lang w:val="fr-BE"/>
        </w:rPr>
        <w:t xml:space="preserve"> : </w:t>
      </w:r>
    </w:p>
    <w:p w:rsidR="00862521" w:rsidRPr="00CB21B0" w:rsidRDefault="00862521" w:rsidP="00862521">
      <w:pPr>
        <w:pStyle w:val="Paragraphedeliste"/>
        <w:numPr>
          <w:ilvl w:val="0"/>
          <w:numId w:val="3"/>
        </w:numPr>
        <w:rPr>
          <w:lang w:val="fr-BE"/>
        </w:rPr>
      </w:pPr>
      <w:r w:rsidRPr="0064779A">
        <w:t xml:space="preserve">Xi B, </w:t>
      </w:r>
      <w:proofErr w:type="spellStart"/>
      <w:r w:rsidRPr="0064779A">
        <w:t>Veeranki</w:t>
      </w:r>
      <w:proofErr w:type="spellEnd"/>
      <w:r w:rsidRPr="0064779A">
        <w:t xml:space="preserve"> SP, Zhao M, Ma C, Yan Y, Mi J. Relationship of Alcohol Consumption to All-Cause, Cardiovascular, and Cancer-Related Mortality in U.S. Adults. </w:t>
      </w:r>
      <w:r w:rsidRPr="00CB21B0">
        <w:rPr>
          <w:lang w:val="fr-BE"/>
        </w:rPr>
        <w:t xml:space="preserve">J Am </w:t>
      </w:r>
      <w:proofErr w:type="spellStart"/>
      <w:r w:rsidRPr="00CB21B0">
        <w:rPr>
          <w:lang w:val="fr-BE"/>
        </w:rPr>
        <w:t>Coll</w:t>
      </w:r>
      <w:proofErr w:type="spellEnd"/>
      <w:r w:rsidRPr="00CB21B0">
        <w:rPr>
          <w:lang w:val="fr-BE"/>
        </w:rPr>
        <w:t xml:space="preserve"> </w:t>
      </w:r>
      <w:proofErr w:type="spellStart"/>
      <w:r w:rsidRPr="00CB21B0">
        <w:rPr>
          <w:lang w:val="fr-BE"/>
        </w:rPr>
        <w:t>Cardiol</w:t>
      </w:r>
      <w:proofErr w:type="spellEnd"/>
      <w:r w:rsidRPr="00CB21B0">
        <w:rPr>
          <w:lang w:val="fr-BE"/>
        </w:rPr>
        <w:t xml:space="preserve"> 2017;70(8):913-22.</w:t>
      </w:r>
    </w:p>
    <w:p w:rsidR="00B35386" w:rsidRPr="00CB21B0" w:rsidRDefault="00B35386" w:rsidP="00B35386">
      <w:pPr>
        <w:pStyle w:val="Paragraphedeliste"/>
        <w:numPr>
          <w:ilvl w:val="0"/>
          <w:numId w:val="3"/>
        </w:numPr>
        <w:jc w:val="left"/>
        <w:rPr>
          <w:lang w:val="fr-BE"/>
        </w:rPr>
      </w:pPr>
      <w:proofErr w:type="spellStart"/>
      <w:r w:rsidRPr="00CB21B0">
        <w:t>Roerecke</w:t>
      </w:r>
      <w:proofErr w:type="spellEnd"/>
      <w:r w:rsidRPr="00CB21B0">
        <w:t xml:space="preserve"> M, Rehm J. Alcohol intake revisited: risks and benefits. </w:t>
      </w:r>
      <w:proofErr w:type="spellStart"/>
      <w:r w:rsidRPr="00CB21B0">
        <w:rPr>
          <w:lang w:val="fr-BE"/>
        </w:rPr>
        <w:t>Curr</w:t>
      </w:r>
      <w:proofErr w:type="spellEnd"/>
      <w:r w:rsidRPr="00CB21B0">
        <w:rPr>
          <w:lang w:val="fr-BE"/>
        </w:rPr>
        <w:t xml:space="preserve"> </w:t>
      </w:r>
      <w:proofErr w:type="spellStart"/>
      <w:r w:rsidRPr="00CB21B0">
        <w:rPr>
          <w:lang w:val="fr-BE"/>
        </w:rPr>
        <w:t>Atheroscler</w:t>
      </w:r>
      <w:proofErr w:type="spellEnd"/>
      <w:r w:rsidRPr="00CB21B0">
        <w:rPr>
          <w:lang w:val="fr-BE"/>
        </w:rPr>
        <w:t xml:space="preserve"> </w:t>
      </w:r>
      <w:proofErr w:type="spellStart"/>
      <w:r w:rsidRPr="00CB21B0">
        <w:rPr>
          <w:lang w:val="fr-BE"/>
        </w:rPr>
        <w:t>Rep</w:t>
      </w:r>
      <w:proofErr w:type="spellEnd"/>
      <w:r w:rsidRPr="00CB21B0">
        <w:rPr>
          <w:lang w:val="fr-BE"/>
        </w:rPr>
        <w:t xml:space="preserve"> 2012; 14:556-562. </w:t>
      </w:r>
    </w:p>
    <w:p w:rsidR="00595D04" w:rsidRPr="00CB21B0" w:rsidRDefault="00595D04" w:rsidP="00595D04">
      <w:pPr>
        <w:pStyle w:val="Paragraphedeliste"/>
        <w:numPr>
          <w:ilvl w:val="0"/>
          <w:numId w:val="3"/>
        </w:numPr>
        <w:autoSpaceDE w:val="0"/>
        <w:autoSpaceDN w:val="0"/>
        <w:adjustRightInd w:val="0"/>
        <w:rPr>
          <w:lang w:val="fr-BE"/>
        </w:rPr>
      </w:pPr>
      <w:r w:rsidRPr="00CB21B0">
        <w:rPr>
          <w:lang w:val="fr-BE"/>
        </w:rPr>
        <w:t xml:space="preserve">Santé publique France, Institut national du cancer. Avis d’experts relatif à l'évolution du discours public en matière de consommation d'alcool en France. Saint-Maurice: Santé publique France; 2017. </w:t>
      </w:r>
    </w:p>
    <w:p w:rsidR="00F0519F" w:rsidRPr="00954383" w:rsidRDefault="00595D04" w:rsidP="00595D04">
      <w:pPr>
        <w:pStyle w:val="Paragraphedeliste"/>
        <w:numPr>
          <w:ilvl w:val="0"/>
          <w:numId w:val="3"/>
        </w:numPr>
      </w:pPr>
      <w:r w:rsidRPr="0064779A">
        <w:t xml:space="preserve">UK </w:t>
      </w:r>
      <w:r w:rsidR="002D63EB" w:rsidRPr="0064779A">
        <w:t>Chief Medical Officers</w:t>
      </w:r>
      <w:r w:rsidRPr="0064779A">
        <w:t xml:space="preserve">’ Low Risk Drinking Guidelines, </w:t>
      </w:r>
      <w:r w:rsidR="002D63EB" w:rsidRPr="0064779A">
        <w:t>2016</w:t>
      </w:r>
      <w:r w:rsidRPr="0064779A">
        <w:t>.</w:t>
      </w:r>
    </w:p>
    <w:p w:rsidR="00862521" w:rsidRPr="00CB21B0" w:rsidRDefault="00595D04" w:rsidP="00CB21B0">
      <w:pPr>
        <w:pStyle w:val="Paragraphedeliste"/>
        <w:numPr>
          <w:ilvl w:val="0"/>
          <w:numId w:val="3"/>
        </w:numPr>
        <w:rPr>
          <w:lang w:val="fr-BE"/>
        </w:rPr>
      </w:pPr>
      <w:r w:rsidRPr="00CB21B0">
        <w:rPr>
          <w:lang w:val="fr-BE"/>
        </w:rPr>
        <w:t xml:space="preserve">VAD. </w:t>
      </w:r>
      <w:proofErr w:type="spellStart"/>
      <w:r w:rsidRPr="00CB21B0">
        <w:rPr>
          <w:lang w:val="fr-BE"/>
        </w:rPr>
        <w:t>Richtlijn</w:t>
      </w:r>
      <w:proofErr w:type="spellEnd"/>
      <w:r w:rsidRPr="00CB21B0">
        <w:rPr>
          <w:lang w:val="fr-BE"/>
        </w:rPr>
        <w:t xml:space="preserve"> </w:t>
      </w:r>
      <w:proofErr w:type="spellStart"/>
      <w:r w:rsidRPr="00CB21B0">
        <w:rPr>
          <w:lang w:val="fr-BE"/>
        </w:rPr>
        <w:t>voor</w:t>
      </w:r>
      <w:proofErr w:type="spellEnd"/>
      <w:r w:rsidRPr="00CB21B0">
        <w:rPr>
          <w:lang w:val="fr-BE"/>
        </w:rPr>
        <w:t xml:space="preserve"> </w:t>
      </w:r>
      <w:proofErr w:type="spellStart"/>
      <w:r w:rsidRPr="00CB21B0">
        <w:rPr>
          <w:lang w:val="fr-BE"/>
        </w:rPr>
        <w:t>alcoholgebruik</w:t>
      </w:r>
      <w:proofErr w:type="spellEnd"/>
      <w:r w:rsidRPr="00CB21B0">
        <w:rPr>
          <w:lang w:val="fr-BE"/>
        </w:rPr>
        <w:t xml:space="preserve">, 2016. </w:t>
      </w:r>
    </w:p>
    <w:p w:rsidR="00B35386" w:rsidRPr="00CB21B0" w:rsidRDefault="00B35386" w:rsidP="00CB21B0">
      <w:pPr>
        <w:pStyle w:val="Paragraphedeliste"/>
        <w:numPr>
          <w:ilvl w:val="0"/>
          <w:numId w:val="3"/>
        </w:numPr>
        <w:rPr>
          <w:lang w:val="fr-BE"/>
        </w:rPr>
      </w:pPr>
      <w:r w:rsidRPr="00CB21B0">
        <w:rPr>
          <w:lang w:val="fr-BE"/>
        </w:rPr>
        <w:t xml:space="preserve">VAD. Dossier </w:t>
      </w:r>
      <w:proofErr w:type="spellStart"/>
      <w:r w:rsidRPr="00CB21B0">
        <w:rPr>
          <w:lang w:val="fr-BE"/>
        </w:rPr>
        <w:t>Alcohol</w:t>
      </w:r>
      <w:proofErr w:type="spellEnd"/>
      <w:r w:rsidRPr="00CB21B0">
        <w:rPr>
          <w:lang w:val="fr-BE"/>
        </w:rPr>
        <w:t xml:space="preserve">, 2016. </w:t>
      </w:r>
    </w:p>
    <w:p w:rsidR="00862521" w:rsidRPr="00CB21B0" w:rsidRDefault="00862521" w:rsidP="00D02138">
      <w:pPr>
        <w:rPr>
          <w:lang w:val="nl-NL"/>
        </w:rPr>
      </w:pPr>
    </w:p>
    <w:p w:rsidR="00B103D6" w:rsidRPr="00CB21B0" w:rsidRDefault="00B103D6" w:rsidP="00B103D6">
      <w:pPr>
        <w:rPr>
          <w:rFonts w:cs="Arial"/>
          <w:bCs/>
          <w:szCs w:val="24"/>
          <w:lang w:val="nl-NL"/>
        </w:rPr>
      </w:pPr>
    </w:p>
    <w:p w:rsidR="00B103D6" w:rsidRPr="00D333A9" w:rsidRDefault="00B103D6" w:rsidP="00B103D6">
      <w:pPr>
        <w:autoSpaceDE w:val="0"/>
        <w:autoSpaceDN w:val="0"/>
        <w:adjustRightInd w:val="0"/>
        <w:rPr>
          <w:rFonts w:cs="Arial"/>
          <w:bCs/>
          <w:szCs w:val="24"/>
          <w:lang w:val="fr-BE"/>
        </w:rPr>
      </w:pPr>
      <w:r w:rsidRPr="00D333A9">
        <w:rPr>
          <w:rFonts w:cs="Arial"/>
          <w:bCs/>
          <w:szCs w:val="24"/>
          <w:lang w:val="fr-BE"/>
        </w:rPr>
        <w:t>Après approbation de l’avis par le groupe de travail (et par le</w:t>
      </w:r>
      <w:r w:rsidR="00722DDF" w:rsidRPr="00D333A9">
        <w:rPr>
          <w:rFonts w:cs="Arial"/>
          <w:bCs/>
          <w:szCs w:val="24"/>
          <w:lang w:val="fr-BE"/>
        </w:rPr>
        <w:t>s</w:t>
      </w:r>
      <w:r w:rsidRPr="00D333A9">
        <w:rPr>
          <w:rFonts w:cs="Arial"/>
          <w:bCs/>
          <w:szCs w:val="24"/>
          <w:lang w:val="fr-BE"/>
        </w:rPr>
        <w:t xml:space="preserve"> groupe</w:t>
      </w:r>
      <w:r w:rsidR="00722DDF" w:rsidRPr="00D333A9">
        <w:rPr>
          <w:rFonts w:cs="Arial"/>
          <w:bCs/>
          <w:szCs w:val="24"/>
          <w:lang w:val="fr-BE"/>
        </w:rPr>
        <w:t>s</w:t>
      </w:r>
      <w:r w:rsidRPr="00D333A9">
        <w:rPr>
          <w:rFonts w:cs="Arial"/>
          <w:bCs/>
          <w:szCs w:val="24"/>
          <w:lang w:val="fr-BE"/>
        </w:rPr>
        <w:t xml:space="preserve"> de travail permanent</w:t>
      </w:r>
      <w:r w:rsidR="00722DDF" w:rsidRPr="00D333A9">
        <w:rPr>
          <w:rFonts w:cs="Arial"/>
          <w:bCs/>
          <w:szCs w:val="24"/>
          <w:lang w:val="fr-BE"/>
        </w:rPr>
        <w:t>s</w:t>
      </w:r>
      <w:r w:rsidRPr="00D333A9">
        <w:rPr>
          <w:rFonts w:cs="Arial"/>
          <w:bCs/>
          <w:szCs w:val="24"/>
          <w:lang w:val="fr-BE"/>
        </w:rPr>
        <w:t xml:space="preserve"> en charge du domaine </w:t>
      </w:r>
      <w:r w:rsidR="00976EF2" w:rsidRPr="00D333A9">
        <w:rPr>
          <w:rFonts w:cs="Arial"/>
          <w:bCs/>
          <w:szCs w:val="24"/>
          <w:lang w:val="fr-BE"/>
        </w:rPr>
        <w:t xml:space="preserve">santé mentale et du domaine </w:t>
      </w:r>
      <w:r w:rsidR="00722DDF" w:rsidRPr="00D333A9">
        <w:rPr>
          <w:rFonts w:cs="Arial"/>
          <w:bCs/>
          <w:szCs w:val="24"/>
          <w:lang w:val="fr-BE"/>
        </w:rPr>
        <w:t>nutrition</w:t>
      </w:r>
      <w:r w:rsidR="00C259DA" w:rsidRPr="00D333A9">
        <w:rPr>
          <w:rFonts w:cs="Arial"/>
          <w:bCs/>
          <w:szCs w:val="24"/>
          <w:lang w:val="fr-BE"/>
        </w:rPr>
        <w:t xml:space="preserve"> et santé, y compris la sécurité alimentaire</w:t>
      </w:r>
      <w:r w:rsidRPr="00D333A9">
        <w:rPr>
          <w:rFonts w:cs="Arial"/>
          <w:bCs/>
          <w:szCs w:val="24"/>
          <w:lang w:val="fr-BE"/>
        </w:rPr>
        <w:t>), le Collège a validé l’avis en dernier ressort.</w:t>
      </w:r>
    </w:p>
    <w:p w:rsidR="00B103D6" w:rsidRDefault="00B103D6" w:rsidP="00B103D6">
      <w:pPr>
        <w:autoSpaceDE w:val="0"/>
        <w:autoSpaceDN w:val="0"/>
        <w:adjustRightInd w:val="0"/>
        <w:rPr>
          <w:rFonts w:cs="Arial"/>
          <w:bCs/>
          <w:szCs w:val="24"/>
          <w:lang w:val="fr-BE"/>
        </w:rPr>
      </w:pPr>
    </w:p>
    <w:p w:rsidR="009B295D" w:rsidRDefault="009B295D" w:rsidP="00B103D6">
      <w:pPr>
        <w:autoSpaceDE w:val="0"/>
        <w:autoSpaceDN w:val="0"/>
        <w:adjustRightInd w:val="0"/>
        <w:rPr>
          <w:rFonts w:cs="Arial"/>
          <w:bCs/>
          <w:szCs w:val="24"/>
          <w:lang w:val="fr-BE"/>
        </w:rPr>
      </w:pPr>
    </w:p>
    <w:p w:rsidR="009B295D" w:rsidRDefault="009B295D" w:rsidP="00B103D6">
      <w:pPr>
        <w:autoSpaceDE w:val="0"/>
        <w:autoSpaceDN w:val="0"/>
        <w:adjustRightInd w:val="0"/>
        <w:rPr>
          <w:rFonts w:cs="Arial"/>
          <w:bCs/>
          <w:szCs w:val="24"/>
          <w:lang w:val="fr-BE"/>
        </w:rPr>
      </w:pPr>
    </w:p>
    <w:p w:rsidR="009B295D" w:rsidRDefault="009B295D" w:rsidP="00B103D6">
      <w:pPr>
        <w:autoSpaceDE w:val="0"/>
        <w:autoSpaceDN w:val="0"/>
        <w:adjustRightInd w:val="0"/>
        <w:rPr>
          <w:rFonts w:cs="Arial"/>
          <w:bCs/>
          <w:szCs w:val="24"/>
          <w:lang w:val="fr-BE"/>
        </w:rPr>
      </w:pPr>
    </w:p>
    <w:p w:rsidR="009B295D" w:rsidRDefault="009B295D" w:rsidP="00B103D6">
      <w:pPr>
        <w:autoSpaceDE w:val="0"/>
        <w:autoSpaceDN w:val="0"/>
        <w:adjustRightInd w:val="0"/>
        <w:rPr>
          <w:rFonts w:cs="Arial"/>
          <w:bCs/>
          <w:szCs w:val="24"/>
          <w:lang w:val="fr-BE"/>
        </w:rPr>
      </w:pPr>
    </w:p>
    <w:p w:rsidR="009B295D" w:rsidRDefault="009B295D" w:rsidP="00B103D6">
      <w:pPr>
        <w:autoSpaceDE w:val="0"/>
        <w:autoSpaceDN w:val="0"/>
        <w:adjustRightInd w:val="0"/>
        <w:rPr>
          <w:rFonts w:cs="Arial"/>
          <w:bCs/>
          <w:szCs w:val="24"/>
          <w:lang w:val="fr-BE"/>
        </w:rPr>
      </w:pPr>
    </w:p>
    <w:p w:rsidR="009B295D" w:rsidRDefault="009B295D" w:rsidP="00B103D6">
      <w:pPr>
        <w:autoSpaceDE w:val="0"/>
        <w:autoSpaceDN w:val="0"/>
        <w:adjustRightInd w:val="0"/>
        <w:rPr>
          <w:rFonts w:cs="Arial"/>
          <w:bCs/>
          <w:szCs w:val="24"/>
          <w:lang w:val="fr-BE"/>
        </w:rPr>
      </w:pPr>
    </w:p>
    <w:p w:rsidR="009B295D" w:rsidRDefault="009B295D" w:rsidP="00B103D6">
      <w:pPr>
        <w:autoSpaceDE w:val="0"/>
        <w:autoSpaceDN w:val="0"/>
        <w:adjustRightInd w:val="0"/>
        <w:rPr>
          <w:rFonts w:cs="Arial"/>
          <w:bCs/>
          <w:szCs w:val="24"/>
          <w:lang w:val="fr-BE"/>
        </w:rPr>
      </w:pPr>
    </w:p>
    <w:p w:rsidR="009B295D" w:rsidRDefault="009B295D" w:rsidP="00B103D6">
      <w:pPr>
        <w:autoSpaceDE w:val="0"/>
        <w:autoSpaceDN w:val="0"/>
        <w:adjustRightInd w:val="0"/>
        <w:rPr>
          <w:rFonts w:cs="Arial"/>
          <w:bCs/>
          <w:szCs w:val="24"/>
          <w:lang w:val="fr-BE"/>
        </w:rPr>
      </w:pPr>
    </w:p>
    <w:p w:rsidR="009B295D" w:rsidRDefault="009B295D" w:rsidP="00B103D6">
      <w:pPr>
        <w:autoSpaceDE w:val="0"/>
        <w:autoSpaceDN w:val="0"/>
        <w:adjustRightInd w:val="0"/>
        <w:rPr>
          <w:rFonts w:cs="Arial"/>
          <w:bCs/>
          <w:szCs w:val="24"/>
          <w:lang w:val="fr-BE"/>
        </w:rPr>
      </w:pPr>
    </w:p>
    <w:p w:rsidR="009B295D" w:rsidRDefault="009B295D" w:rsidP="00B103D6">
      <w:pPr>
        <w:autoSpaceDE w:val="0"/>
        <w:autoSpaceDN w:val="0"/>
        <w:adjustRightInd w:val="0"/>
        <w:rPr>
          <w:rFonts w:cs="Arial"/>
          <w:bCs/>
          <w:szCs w:val="24"/>
          <w:lang w:val="fr-BE"/>
        </w:rPr>
      </w:pPr>
    </w:p>
    <w:p w:rsidR="009B295D" w:rsidRDefault="009B295D" w:rsidP="00B103D6">
      <w:pPr>
        <w:autoSpaceDE w:val="0"/>
        <w:autoSpaceDN w:val="0"/>
        <w:adjustRightInd w:val="0"/>
        <w:rPr>
          <w:rFonts w:cs="Arial"/>
          <w:bCs/>
          <w:szCs w:val="24"/>
          <w:lang w:val="fr-BE"/>
        </w:rPr>
      </w:pPr>
    </w:p>
    <w:p w:rsidR="009B295D" w:rsidRDefault="009B295D" w:rsidP="00B103D6">
      <w:pPr>
        <w:autoSpaceDE w:val="0"/>
        <w:autoSpaceDN w:val="0"/>
        <w:adjustRightInd w:val="0"/>
        <w:rPr>
          <w:rFonts w:cs="Arial"/>
          <w:bCs/>
          <w:szCs w:val="24"/>
          <w:lang w:val="fr-BE"/>
        </w:rPr>
      </w:pPr>
    </w:p>
    <w:p w:rsidR="00650425" w:rsidRPr="00D333A9" w:rsidRDefault="00650425" w:rsidP="00B103D6">
      <w:pPr>
        <w:autoSpaceDE w:val="0"/>
        <w:autoSpaceDN w:val="0"/>
        <w:adjustRightInd w:val="0"/>
        <w:rPr>
          <w:rFonts w:cs="Arial"/>
          <w:bCs/>
          <w:szCs w:val="24"/>
          <w:lang w:val="fr-BE"/>
        </w:rPr>
      </w:pPr>
    </w:p>
    <w:p w:rsidR="00241522" w:rsidRPr="00D333A9" w:rsidRDefault="00241522" w:rsidP="00750DA6">
      <w:pPr>
        <w:pStyle w:val="Titre1"/>
      </w:pPr>
      <w:r w:rsidRPr="00D333A9">
        <w:t>Elaboration et argumentation</w:t>
      </w:r>
    </w:p>
    <w:p w:rsidR="00415370" w:rsidRPr="00D333A9" w:rsidRDefault="00415370" w:rsidP="00B07709">
      <w:pPr>
        <w:pStyle w:val="Titre2"/>
      </w:pPr>
      <w:proofErr w:type="spellStart"/>
      <w:r w:rsidRPr="00D333A9">
        <w:t>Définition</w:t>
      </w:r>
      <w:proofErr w:type="spellEnd"/>
      <w:r w:rsidRPr="00D333A9">
        <w:t xml:space="preserve"> </w:t>
      </w:r>
    </w:p>
    <w:p w:rsidR="00146519" w:rsidRPr="00D333A9" w:rsidRDefault="00415370" w:rsidP="00146519">
      <w:pPr>
        <w:rPr>
          <w:lang w:val="fr-BE"/>
        </w:rPr>
      </w:pPr>
      <w:r w:rsidRPr="00D333A9">
        <w:rPr>
          <w:lang w:val="fr-BE"/>
        </w:rPr>
        <w:t xml:space="preserve">Afin de pouvoir fournir au public des recommandations claires pour une consommation d’alcool à faible risque pour la santé, il est d’abord important de définir ce qu’on entend par unité d’alcool. </w:t>
      </w:r>
    </w:p>
    <w:p w:rsidR="00415370" w:rsidRPr="00D333A9" w:rsidRDefault="00415370" w:rsidP="00415370">
      <w:pPr>
        <w:rPr>
          <w:lang w:val="fr-BE"/>
        </w:rPr>
      </w:pPr>
    </w:p>
    <w:p w:rsidR="00FA7A97" w:rsidRPr="00D333A9" w:rsidRDefault="0096198A" w:rsidP="00A55444">
      <w:pPr>
        <w:rPr>
          <w:lang w:val="fr-BE"/>
        </w:rPr>
      </w:pPr>
      <w:r w:rsidRPr="00D333A9">
        <w:rPr>
          <w:lang w:val="fr-BE"/>
        </w:rPr>
        <w:t>Le CSS</w:t>
      </w:r>
      <w:r w:rsidR="001769A7" w:rsidRPr="00D333A9">
        <w:rPr>
          <w:lang w:val="fr-BE"/>
        </w:rPr>
        <w:t xml:space="preserve"> considère qu’une unité</w:t>
      </w:r>
      <w:r w:rsidR="00415370" w:rsidRPr="00D333A9">
        <w:rPr>
          <w:lang w:val="fr-BE"/>
        </w:rPr>
        <w:t xml:space="preserve"> standard d’alcool correspond à 10</w:t>
      </w:r>
      <w:r w:rsidR="00945F8C">
        <w:rPr>
          <w:lang w:val="fr-BE"/>
        </w:rPr>
        <w:t xml:space="preserve"> </w:t>
      </w:r>
      <w:r w:rsidR="00415370" w:rsidRPr="00D333A9">
        <w:rPr>
          <w:lang w:val="fr-BE"/>
        </w:rPr>
        <w:t>g d’alcool, soit</w:t>
      </w:r>
      <w:r w:rsidR="00C5283E" w:rsidRPr="00D333A9">
        <w:rPr>
          <w:lang w:val="fr-BE"/>
        </w:rPr>
        <w:t xml:space="preserve"> 12,</w:t>
      </w:r>
      <w:r w:rsidR="00415370" w:rsidRPr="00D333A9">
        <w:rPr>
          <w:lang w:val="fr-BE"/>
        </w:rPr>
        <w:t xml:space="preserve">7 ml d’alcool pur. </w:t>
      </w:r>
      <w:r w:rsidR="00FA7A97" w:rsidRPr="00D333A9">
        <w:rPr>
          <w:lang w:val="fr-BE"/>
        </w:rPr>
        <w:t>Cette quantité correspond à environ 250 ml de bière (à 5 % d'alcool), 100 ml de vin (à 12 % d'alcool) et 35 ml de spiritueux (à 40 % d'alcool). Il s'agit de quantités standard, qui ne sont pas respectées lors de l'utilisation de verres de plus grande contenance (bières de 33</w:t>
      </w:r>
      <w:r w:rsidR="00945F8C">
        <w:rPr>
          <w:lang w:val="fr-BE"/>
        </w:rPr>
        <w:t xml:space="preserve"> </w:t>
      </w:r>
      <w:r w:rsidR="00FA7A97" w:rsidRPr="00D333A9">
        <w:rPr>
          <w:lang w:val="fr-BE"/>
        </w:rPr>
        <w:t>cl par exemple) et/ou de la consommation de boissons dont la concentration d'alcool est supérieure</w:t>
      </w:r>
      <w:r w:rsidR="00415370" w:rsidRPr="00D333A9">
        <w:rPr>
          <w:lang w:val="fr-BE"/>
        </w:rPr>
        <w:t xml:space="preserve"> (bières fortes par exemple).</w:t>
      </w:r>
      <w:r w:rsidR="00654001" w:rsidRPr="00D333A9">
        <w:rPr>
          <w:lang w:val="fr-BE"/>
        </w:rPr>
        <w:t xml:space="preserve"> </w:t>
      </w:r>
      <w:r w:rsidR="00415370" w:rsidRPr="00D333A9">
        <w:rPr>
          <w:lang w:val="fr-BE"/>
        </w:rPr>
        <w:t xml:space="preserve">La tendance actuelle du marché est en effet de vendre de plus grands contenants, et des bières </w:t>
      </w:r>
      <w:r w:rsidR="002E4B21" w:rsidRPr="00D333A9">
        <w:rPr>
          <w:lang w:val="fr-BE"/>
        </w:rPr>
        <w:t>ou d</w:t>
      </w:r>
      <w:r w:rsidR="00185FE4" w:rsidRPr="00D333A9">
        <w:rPr>
          <w:lang w:val="fr-BE"/>
        </w:rPr>
        <w:t>es</w:t>
      </w:r>
      <w:r w:rsidR="002E4B21" w:rsidRPr="00D333A9">
        <w:rPr>
          <w:lang w:val="fr-BE"/>
        </w:rPr>
        <w:t xml:space="preserve"> vin</w:t>
      </w:r>
      <w:r w:rsidR="00185FE4" w:rsidRPr="00D333A9">
        <w:rPr>
          <w:lang w:val="fr-BE"/>
        </w:rPr>
        <w:t>s</w:t>
      </w:r>
      <w:r w:rsidR="002E4B21" w:rsidRPr="00D333A9">
        <w:rPr>
          <w:lang w:val="fr-BE"/>
        </w:rPr>
        <w:t xml:space="preserve"> </w:t>
      </w:r>
      <w:r w:rsidR="00415370" w:rsidRPr="00D333A9">
        <w:rPr>
          <w:lang w:val="fr-BE"/>
        </w:rPr>
        <w:t xml:space="preserve">plus fortement dosés en alcool. </w:t>
      </w:r>
      <w:r w:rsidR="00654001" w:rsidRPr="00D333A9">
        <w:rPr>
          <w:lang w:val="fr-BE"/>
        </w:rPr>
        <w:t xml:space="preserve">D’autre part, les unités standards </w:t>
      </w:r>
      <w:r w:rsidR="00DF5F04" w:rsidRPr="00D333A9">
        <w:rPr>
          <w:lang w:val="fr-BE"/>
        </w:rPr>
        <w:t xml:space="preserve">ne sont pas définies de la même manière dans les différents pays européens, </w:t>
      </w:r>
      <w:r w:rsidR="00654001" w:rsidRPr="00D333A9">
        <w:rPr>
          <w:lang w:val="fr-BE"/>
        </w:rPr>
        <w:t>c</w:t>
      </w:r>
      <w:r w:rsidR="00DF5F04" w:rsidRPr="00D333A9">
        <w:rPr>
          <w:lang w:val="fr-BE"/>
        </w:rPr>
        <w:t>e qui signifie que chaque recommandation doit être interprétée</w:t>
      </w:r>
      <w:r w:rsidR="00654001" w:rsidRPr="00D333A9">
        <w:rPr>
          <w:lang w:val="fr-BE"/>
        </w:rPr>
        <w:t xml:space="preserve"> autrement</w:t>
      </w:r>
      <w:r w:rsidR="00DF5F04" w:rsidRPr="00D333A9">
        <w:rPr>
          <w:lang w:val="fr-BE"/>
        </w:rPr>
        <w:t xml:space="preserve"> (</w:t>
      </w:r>
      <w:proofErr w:type="spellStart"/>
      <w:r w:rsidR="00DF5F04" w:rsidRPr="00D333A9">
        <w:rPr>
          <w:lang w:val="fr-BE"/>
        </w:rPr>
        <w:t>Mongan</w:t>
      </w:r>
      <w:proofErr w:type="spellEnd"/>
      <w:r w:rsidR="00DF5F04" w:rsidRPr="00D333A9">
        <w:rPr>
          <w:lang w:val="fr-BE"/>
        </w:rPr>
        <w:t xml:space="preserve"> &amp; Long, 2015)</w:t>
      </w:r>
      <w:r w:rsidR="00654001" w:rsidRPr="00D333A9">
        <w:rPr>
          <w:lang w:val="fr-BE"/>
        </w:rPr>
        <w:t>.</w:t>
      </w:r>
    </w:p>
    <w:p w:rsidR="00C5283E" w:rsidRPr="00D333A9" w:rsidRDefault="00C5283E" w:rsidP="00A55444">
      <w:pPr>
        <w:rPr>
          <w:lang w:val="fr-BE"/>
        </w:rPr>
      </w:pPr>
    </w:p>
    <w:p w:rsidR="00536853" w:rsidRPr="00D333A9" w:rsidRDefault="00FA7A97" w:rsidP="00A55444">
      <w:pPr>
        <w:rPr>
          <w:lang w:val="fr-BE"/>
        </w:rPr>
      </w:pPr>
      <w:r w:rsidRPr="00D333A9">
        <w:rPr>
          <w:lang w:val="fr-BE"/>
        </w:rPr>
        <w:t>La</w:t>
      </w:r>
      <w:r w:rsidR="00536853" w:rsidRPr="00D333A9">
        <w:rPr>
          <w:lang w:val="fr-BE"/>
        </w:rPr>
        <w:t xml:space="preserve"> quantité d’alcool</w:t>
      </w:r>
      <w:r w:rsidR="00C259DA" w:rsidRPr="00D333A9">
        <w:rPr>
          <w:lang w:val="fr-BE"/>
        </w:rPr>
        <w:t xml:space="preserve"> (en grammes)</w:t>
      </w:r>
      <w:r w:rsidR="00536853" w:rsidRPr="00D333A9">
        <w:rPr>
          <w:lang w:val="fr-BE"/>
        </w:rPr>
        <w:t xml:space="preserve"> de n’importe quelle consommation</w:t>
      </w:r>
      <w:r w:rsidR="00A55444" w:rsidRPr="00D333A9">
        <w:rPr>
          <w:lang w:val="fr-BE"/>
        </w:rPr>
        <w:t xml:space="preserve"> </w:t>
      </w:r>
      <w:r w:rsidRPr="00D333A9">
        <w:rPr>
          <w:lang w:val="fr-BE"/>
        </w:rPr>
        <w:t xml:space="preserve">peut être calculée </w:t>
      </w:r>
      <w:r w:rsidR="00A55444" w:rsidRPr="00D333A9">
        <w:rPr>
          <w:lang w:val="fr-BE"/>
        </w:rPr>
        <w:t xml:space="preserve">en multipliant </w:t>
      </w:r>
      <w:r w:rsidR="00536853" w:rsidRPr="00D333A9">
        <w:rPr>
          <w:lang w:val="fr-BE"/>
        </w:rPr>
        <w:t xml:space="preserve"> le degré d’alcool de la boisson par le vol</w:t>
      </w:r>
      <w:r w:rsidR="000A362C">
        <w:rPr>
          <w:lang w:val="fr-BE"/>
        </w:rPr>
        <w:t>ume (exprimé en litre) et par 0,</w:t>
      </w:r>
      <w:r w:rsidR="00536853" w:rsidRPr="00D333A9">
        <w:rPr>
          <w:lang w:val="fr-BE"/>
        </w:rPr>
        <w:t>8 (la densité d’alcool).</w:t>
      </w:r>
    </w:p>
    <w:p w:rsidR="00140E7B" w:rsidRPr="00D333A9" w:rsidRDefault="00140E7B" w:rsidP="00A55444">
      <w:pPr>
        <w:rPr>
          <w:lang w:val="fr-BE"/>
        </w:rPr>
      </w:pPr>
    </w:p>
    <w:p w:rsidR="00502BAD" w:rsidRPr="00D333A9" w:rsidRDefault="0063276E" w:rsidP="00140E7B">
      <w:pPr>
        <w:rPr>
          <w:rFonts w:cs="Arial"/>
          <w:color w:val="000000"/>
          <w:lang w:val="fr-BE"/>
        </w:rPr>
      </w:pPr>
      <w:r w:rsidRPr="00D333A9">
        <w:rPr>
          <w:rFonts w:cs="Arial"/>
          <w:bCs/>
          <w:color w:val="000000"/>
          <w:lang w:val="fr-BE"/>
        </w:rPr>
        <w:t>Table</w:t>
      </w:r>
      <w:r w:rsidR="00DA5B42" w:rsidRPr="00D333A9">
        <w:rPr>
          <w:rFonts w:cs="Arial"/>
          <w:bCs/>
          <w:color w:val="000000"/>
          <w:lang w:val="fr-BE"/>
        </w:rPr>
        <w:t xml:space="preserve"> 2</w:t>
      </w:r>
      <w:r w:rsidR="00502BAD" w:rsidRPr="00D333A9">
        <w:rPr>
          <w:rFonts w:cs="Arial"/>
          <w:b/>
          <w:bCs/>
          <w:color w:val="000000"/>
          <w:lang w:val="fr-BE"/>
        </w:rPr>
        <w:t>: </w:t>
      </w:r>
      <w:r w:rsidR="00146519" w:rsidRPr="00D333A9">
        <w:rPr>
          <w:rFonts w:cs="Arial"/>
          <w:color w:val="000000"/>
          <w:lang w:val="fr-BE"/>
        </w:rPr>
        <w:t>nombre de ml par consommation, pourcentage d’alcool, nombre de ml d’a</w:t>
      </w:r>
      <w:r w:rsidR="00E966BC" w:rsidRPr="00D333A9">
        <w:rPr>
          <w:rFonts w:cs="Arial"/>
          <w:color w:val="000000"/>
          <w:lang w:val="fr-BE"/>
        </w:rPr>
        <w:t>l</w:t>
      </w:r>
      <w:r w:rsidR="00146519" w:rsidRPr="00D333A9">
        <w:rPr>
          <w:rFonts w:cs="Arial"/>
          <w:color w:val="000000"/>
          <w:lang w:val="fr-BE"/>
        </w:rPr>
        <w:t xml:space="preserve">cool, nombre de grammes d’alcool et nombre d’unités standards par </w:t>
      </w:r>
      <w:r w:rsidR="00E966BC" w:rsidRPr="00D333A9">
        <w:rPr>
          <w:rFonts w:cs="Arial"/>
          <w:color w:val="000000"/>
          <w:lang w:val="fr-BE"/>
        </w:rPr>
        <w:t>type</w:t>
      </w:r>
      <w:r w:rsidR="00146519" w:rsidRPr="00D333A9">
        <w:rPr>
          <w:rFonts w:cs="Arial"/>
          <w:color w:val="000000"/>
          <w:lang w:val="fr-BE"/>
        </w:rPr>
        <w:t xml:space="preserve"> de consommation. </w:t>
      </w:r>
    </w:p>
    <w:tbl>
      <w:tblPr>
        <w:tblW w:w="86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6"/>
        <w:gridCol w:w="1608"/>
        <w:gridCol w:w="1462"/>
        <w:gridCol w:w="1208"/>
        <w:gridCol w:w="1406"/>
        <w:gridCol w:w="1465"/>
      </w:tblGrid>
      <w:tr w:rsidR="00E966BC" w:rsidRPr="00D333A9" w:rsidTr="00502BAD">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pPr>
              <w:rPr>
                <w:rFonts w:ascii="Helvetica" w:hAnsi="Helvetica" w:cs="Times New Roman"/>
                <w:color w:val="000000"/>
                <w:sz w:val="21"/>
                <w:szCs w:val="21"/>
                <w:lang w:val="fr-B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fr-BE" w:eastAsia="nl-NL"/>
              </w:rPr>
            </w:pPr>
            <w:r w:rsidRPr="00D333A9">
              <w:rPr>
                <w:rFonts w:ascii="Helvetica" w:eastAsia="Times New Roman" w:hAnsi="Helvetica" w:cs="Times New Roman"/>
                <w:bCs/>
                <w:color w:val="000000"/>
                <w:sz w:val="21"/>
                <w:szCs w:val="21"/>
                <w:lang w:val="fr-BE"/>
              </w:rPr>
              <w:t xml:space="preserve">ml </w:t>
            </w:r>
            <w:r w:rsidR="00146519" w:rsidRPr="00D333A9">
              <w:rPr>
                <w:rFonts w:ascii="Helvetica" w:eastAsia="Times New Roman" w:hAnsi="Helvetica" w:cs="Times New Roman"/>
                <w:bCs/>
                <w:color w:val="000000"/>
                <w:sz w:val="21"/>
                <w:szCs w:val="21"/>
                <w:lang w:val="fr-BE"/>
              </w:rPr>
              <w:t>par verre, cannette ou bouteille</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146519"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bCs/>
                <w:color w:val="000000"/>
                <w:sz w:val="21"/>
                <w:szCs w:val="21"/>
                <w:lang w:val="nl-BE"/>
              </w:rPr>
              <w:t>Pourcentage d’alcool</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146519"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bCs/>
                <w:color w:val="000000"/>
                <w:sz w:val="21"/>
                <w:szCs w:val="21"/>
                <w:lang w:val="nl-BE"/>
              </w:rPr>
              <w:t>Nombre de ml d’alcool</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146519"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bCs/>
                <w:color w:val="000000"/>
                <w:sz w:val="21"/>
                <w:szCs w:val="21"/>
                <w:lang w:val="nl-BE"/>
              </w:rPr>
              <w:t>Nombre de gramme d’alcool</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146519"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bCs/>
                <w:color w:val="000000"/>
                <w:sz w:val="21"/>
                <w:szCs w:val="21"/>
                <w:lang w:val="nl-BE"/>
              </w:rPr>
              <w:t>Nombre d’unités standards</w:t>
            </w:r>
          </w:p>
        </w:tc>
      </w:tr>
      <w:tr w:rsidR="00E966BC" w:rsidRPr="00D333A9" w:rsidTr="00502BAD">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146519">
            <w:pPr>
              <w:rPr>
                <w:rFonts w:ascii="Helvetica" w:eastAsia="Times New Roman" w:hAnsi="Helvetica" w:cs="Times New Roman"/>
                <w:color w:val="000000"/>
                <w:sz w:val="21"/>
                <w:szCs w:val="21"/>
                <w:lang w:val="nl-BE"/>
              </w:rPr>
            </w:pPr>
            <w:r w:rsidRPr="00D333A9">
              <w:rPr>
                <w:rFonts w:ascii="Helvetica" w:eastAsia="Times New Roman" w:hAnsi="Helvetica" w:cs="Times New Roman"/>
                <w:bCs/>
                <w:color w:val="000000"/>
                <w:sz w:val="21"/>
                <w:szCs w:val="21"/>
                <w:lang w:val="nl-BE"/>
              </w:rPr>
              <w:t>Verre de bière</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5</w:t>
            </w:r>
            <w:r w:rsidR="00945F8C">
              <w:rPr>
                <w:rFonts w:ascii="Helvetica" w:eastAsia="Times New Roman" w:hAnsi="Helvetica" w:cs="Times New Roman"/>
                <w:color w:val="000000"/>
                <w:sz w:val="21"/>
                <w:szCs w:val="21"/>
                <w:lang w:val="nl-BE"/>
              </w:rPr>
              <w:t xml:space="preserve"> </w:t>
            </w:r>
            <w:r w:rsidRPr="00D333A9">
              <w:rPr>
                <w:rFonts w:ascii="Helvetica" w:eastAsia="Times New Roman" w:hAnsi="Helvetica" w:cs="Times New Roman"/>
                <w:color w:val="000000"/>
                <w:sz w:val="21"/>
                <w:szCs w:val="21"/>
                <w:lang w:val="nl-BE"/>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1</w:t>
            </w:r>
          </w:p>
        </w:tc>
      </w:tr>
      <w:tr w:rsidR="00E966BC" w:rsidRPr="00D333A9" w:rsidTr="00502BAD">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146519">
            <w:pPr>
              <w:rPr>
                <w:rFonts w:ascii="Helvetica" w:eastAsia="Times New Roman" w:hAnsi="Helvetica" w:cs="Times New Roman"/>
                <w:color w:val="000000"/>
                <w:sz w:val="21"/>
                <w:szCs w:val="21"/>
                <w:lang w:val="nl-BE"/>
              </w:rPr>
            </w:pPr>
            <w:r w:rsidRPr="00D333A9">
              <w:rPr>
                <w:rFonts w:ascii="Helvetica" w:eastAsia="Times New Roman" w:hAnsi="Helvetica" w:cs="Times New Roman"/>
                <w:bCs/>
                <w:color w:val="000000"/>
                <w:sz w:val="21"/>
                <w:szCs w:val="21"/>
                <w:lang w:val="nl-BE"/>
              </w:rPr>
              <w:t>Petite bouteille de bière</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330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5</w:t>
            </w:r>
            <w:r w:rsidR="00945F8C">
              <w:rPr>
                <w:rFonts w:ascii="Helvetica" w:eastAsia="Times New Roman" w:hAnsi="Helvetica" w:cs="Times New Roman"/>
                <w:color w:val="000000"/>
                <w:sz w:val="21"/>
                <w:szCs w:val="21"/>
                <w:lang w:val="nl-BE"/>
              </w:rPr>
              <w:t xml:space="preserve"> </w:t>
            </w:r>
            <w:r w:rsidRPr="00D333A9">
              <w:rPr>
                <w:rFonts w:ascii="Helvetica" w:eastAsia="Times New Roman" w:hAnsi="Helvetica" w:cs="Times New Roman"/>
                <w:color w:val="000000"/>
                <w:sz w:val="21"/>
                <w:szCs w:val="21"/>
                <w:lang w:val="nl-BE"/>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16,5</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13,2</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1,3</w:t>
            </w:r>
          </w:p>
        </w:tc>
      </w:tr>
      <w:tr w:rsidR="00E966BC" w:rsidRPr="00D333A9" w:rsidTr="00502BAD">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146519">
            <w:pPr>
              <w:rPr>
                <w:rFonts w:ascii="Helvetica" w:eastAsia="Times New Roman" w:hAnsi="Helvetica" w:cs="Times New Roman"/>
                <w:color w:val="000000"/>
                <w:sz w:val="21"/>
                <w:szCs w:val="21"/>
                <w:lang w:val="nl-BE"/>
              </w:rPr>
            </w:pPr>
            <w:r w:rsidRPr="00D333A9">
              <w:rPr>
                <w:rFonts w:ascii="Helvetica" w:eastAsia="Times New Roman" w:hAnsi="Helvetica" w:cs="Times New Roman"/>
                <w:bCs/>
                <w:color w:val="000000"/>
                <w:sz w:val="21"/>
                <w:szCs w:val="21"/>
                <w:lang w:val="nl-BE"/>
              </w:rPr>
              <w:t>½ litre de bière</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5</w:t>
            </w:r>
            <w:r w:rsidR="00945F8C">
              <w:rPr>
                <w:rFonts w:ascii="Helvetica" w:eastAsia="Times New Roman" w:hAnsi="Helvetica" w:cs="Times New Roman"/>
                <w:color w:val="000000"/>
                <w:sz w:val="21"/>
                <w:szCs w:val="21"/>
                <w:lang w:val="nl-BE"/>
              </w:rPr>
              <w:t xml:space="preserve"> </w:t>
            </w:r>
            <w:r w:rsidRPr="00D333A9">
              <w:rPr>
                <w:rFonts w:ascii="Helvetica" w:eastAsia="Times New Roman" w:hAnsi="Helvetica" w:cs="Times New Roman"/>
                <w:color w:val="000000"/>
                <w:sz w:val="21"/>
                <w:szCs w:val="21"/>
                <w:lang w:val="nl-BE"/>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2</w:t>
            </w:r>
          </w:p>
        </w:tc>
      </w:tr>
      <w:tr w:rsidR="00E966BC" w:rsidRPr="00D333A9" w:rsidTr="00502BAD">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146519">
            <w:pPr>
              <w:rPr>
                <w:rFonts w:ascii="Helvetica" w:eastAsia="Times New Roman" w:hAnsi="Helvetica" w:cs="Times New Roman"/>
                <w:color w:val="000000"/>
                <w:sz w:val="21"/>
                <w:szCs w:val="21"/>
                <w:lang w:val="nl-BE"/>
              </w:rPr>
            </w:pPr>
            <w:r w:rsidRPr="00D333A9">
              <w:rPr>
                <w:rFonts w:ascii="Helvetica" w:eastAsia="Times New Roman" w:hAnsi="Helvetica" w:cs="Times New Roman"/>
                <w:bCs/>
                <w:color w:val="000000"/>
                <w:sz w:val="21"/>
                <w:szCs w:val="21"/>
                <w:lang w:val="nl-BE"/>
              </w:rPr>
              <w:t>Verre de vin</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12</w:t>
            </w:r>
            <w:r w:rsidR="00945F8C">
              <w:rPr>
                <w:rFonts w:ascii="Helvetica" w:eastAsia="Times New Roman" w:hAnsi="Helvetica" w:cs="Times New Roman"/>
                <w:color w:val="000000"/>
                <w:sz w:val="21"/>
                <w:szCs w:val="21"/>
                <w:lang w:val="nl-BE"/>
              </w:rPr>
              <w:t xml:space="preserve"> </w:t>
            </w:r>
            <w:r w:rsidRPr="00D333A9">
              <w:rPr>
                <w:rFonts w:ascii="Helvetica" w:eastAsia="Times New Roman" w:hAnsi="Helvetica" w:cs="Times New Roman"/>
                <w:color w:val="000000"/>
                <w:sz w:val="21"/>
                <w:szCs w:val="21"/>
                <w:lang w:val="nl-BE"/>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1</w:t>
            </w:r>
          </w:p>
        </w:tc>
      </w:tr>
      <w:tr w:rsidR="00E966BC" w:rsidRPr="00D333A9" w:rsidTr="00502BAD">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146519">
            <w:pPr>
              <w:rPr>
                <w:rFonts w:ascii="Helvetica" w:eastAsia="Times New Roman" w:hAnsi="Helvetica" w:cs="Times New Roman"/>
                <w:color w:val="000000"/>
                <w:sz w:val="21"/>
                <w:szCs w:val="21"/>
                <w:lang w:val="nl-BE"/>
              </w:rPr>
            </w:pPr>
            <w:r w:rsidRPr="00D333A9">
              <w:rPr>
                <w:rFonts w:ascii="Helvetica" w:eastAsia="Times New Roman" w:hAnsi="Helvetica" w:cs="Times New Roman"/>
                <w:bCs/>
                <w:color w:val="000000"/>
                <w:sz w:val="21"/>
                <w:szCs w:val="21"/>
                <w:lang w:val="nl-BE"/>
              </w:rPr>
              <w:t>Bouteille de vin</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750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12</w:t>
            </w:r>
            <w:r w:rsidR="00945F8C">
              <w:rPr>
                <w:rFonts w:ascii="Helvetica" w:eastAsia="Times New Roman" w:hAnsi="Helvetica" w:cs="Times New Roman"/>
                <w:color w:val="000000"/>
                <w:sz w:val="21"/>
                <w:szCs w:val="21"/>
                <w:lang w:val="nl-BE"/>
              </w:rPr>
              <w:t xml:space="preserve"> </w:t>
            </w:r>
            <w:r w:rsidRPr="00D333A9">
              <w:rPr>
                <w:rFonts w:ascii="Helvetica" w:eastAsia="Times New Roman" w:hAnsi="Helvetica" w:cs="Times New Roman"/>
                <w:color w:val="000000"/>
                <w:sz w:val="21"/>
                <w:szCs w:val="21"/>
                <w:lang w:val="nl-BE"/>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7</w:t>
            </w:r>
          </w:p>
        </w:tc>
      </w:tr>
      <w:tr w:rsidR="00E966BC" w:rsidRPr="00D333A9" w:rsidTr="00502BAD">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146519">
            <w:pPr>
              <w:rPr>
                <w:rFonts w:ascii="Helvetica" w:eastAsia="Times New Roman" w:hAnsi="Helvetica" w:cs="Times New Roman"/>
                <w:color w:val="000000"/>
                <w:sz w:val="21"/>
                <w:szCs w:val="21"/>
                <w:lang w:val="nl-BE"/>
              </w:rPr>
            </w:pPr>
            <w:r w:rsidRPr="00D333A9">
              <w:rPr>
                <w:rFonts w:ascii="Helvetica" w:eastAsia="Times New Roman" w:hAnsi="Helvetica" w:cs="Times New Roman"/>
                <w:bCs/>
                <w:color w:val="000000"/>
                <w:sz w:val="21"/>
                <w:szCs w:val="21"/>
                <w:lang w:val="nl-BE"/>
              </w:rPr>
              <w:t>Verre de porto</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20</w:t>
            </w:r>
            <w:r w:rsidR="00945F8C">
              <w:rPr>
                <w:rFonts w:ascii="Helvetica" w:eastAsia="Times New Roman" w:hAnsi="Helvetica" w:cs="Times New Roman"/>
                <w:color w:val="000000"/>
                <w:sz w:val="21"/>
                <w:szCs w:val="21"/>
                <w:lang w:val="nl-BE"/>
              </w:rPr>
              <w:t xml:space="preserve"> </w:t>
            </w:r>
            <w:r w:rsidRPr="00D333A9">
              <w:rPr>
                <w:rFonts w:ascii="Helvetica" w:eastAsia="Times New Roman" w:hAnsi="Helvetica" w:cs="Times New Roman"/>
                <w:color w:val="000000"/>
                <w:sz w:val="21"/>
                <w:szCs w:val="21"/>
                <w:lang w:val="nl-BE"/>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1</w:t>
            </w:r>
          </w:p>
        </w:tc>
      </w:tr>
      <w:tr w:rsidR="00E966BC" w:rsidRPr="00D333A9" w:rsidTr="00502BAD">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146519">
            <w:pPr>
              <w:rPr>
                <w:rFonts w:ascii="Helvetica" w:eastAsia="Times New Roman" w:hAnsi="Helvetica" w:cs="Times New Roman"/>
                <w:color w:val="000000"/>
                <w:sz w:val="21"/>
                <w:szCs w:val="21"/>
                <w:lang w:val="nl-BE"/>
              </w:rPr>
            </w:pPr>
            <w:r w:rsidRPr="00D333A9">
              <w:rPr>
                <w:rFonts w:ascii="Helvetica" w:eastAsia="Times New Roman" w:hAnsi="Helvetica" w:cs="Times New Roman"/>
                <w:bCs/>
                <w:color w:val="000000"/>
                <w:sz w:val="21"/>
                <w:szCs w:val="21"/>
                <w:lang w:val="nl-BE"/>
              </w:rPr>
              <w:t>Bouteille de porto</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750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20</w:t>
            </w:r>
            <w:r w:rsidR="00945F8C">
              <w:rPr>
                <w:rFonts w:ascii="Helvetica" w:eastAsia="Times New Roman" w:hAnsi="Helvetica" w:cs="Times New Roman"/>
                <w:color w:val="000000"/>
                <w:sz w:val="21"/>
                <w:szCs w:val="21"/>
                <w:lang w:val="nl-BE"/>
              </w:rPr>
              <w:t xml:space="preserve"> </w:t>
            </w:r>
            <w:r w:rsidRPr="00D333A9">
              <w:rPr>
                <w:rFonts w:ascii="Helvetica" w:eastAsia="Times New Roman" w:hAnsi="Helvetica" w:cs="Times New Roman"/>
                <w:color w:val="000000"/>
                <w:sz w:val="21"/>
                <w:szCs w:val="21"/>
                <w:lang w:val="nl-BE"/>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12</w:t>
            </w:r>
          </w:p>
        </w:tc>
      </w:tr>
      <w:tr w:rsidR="00E966BC" w:rsidRPr="00D333A9" w:rsidTr="00502BAD">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146519">
            <w:pPr>
              <w:rPr>
                <w:rFonts w:ascii="Helvetica" w:eastAsia="Times New Roman" w:hAnsi="Helvetica" w:cs="Times New Roman"/>
                <w:color w:val="000000"/>
                <w:sz w:val="21"/>
                <w:szCs w:val="21"/>
                <w:lang w:val="nl-BE"/>
              </w:rPr>
            </w:pPr>
            <w:r w:rsidRPr="00D333A9">
              <w:rPr>
                <w:rFonts w:ascii="Helvetica" w:eastAsia="Times New Roman" w:hAnsi="Helvetica" w:cs="Times New Roman"/>
                <w:bCs/>
                <w:color w:val="000000"/>
                <w:sz w:val="21"/>
                <w:szCs w:val="21"/>
                <w:lang w:val="nl-BE"/>
              </w:rPr>
              <w:t xml:space="preserve">Boisson mixte (petite bouteille) </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275</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5,6</w:t>
            </w:r>
            <w:r w:rsidR="00945F8C">
              <w:rPr>
                <w:rFonts w:ascii="Helvetica" w:eastAsia="Times New Roman" w:hAnsi="Helvetica" w:cs="Times New Roman"/>
                <w:color w:val="000000"/>
                <w:sz w:val="21"/>
                <w:szCs w:val="21"/>
                <w:lang w:val="nl-BE"/>
              </w:rPr>
              <w:t xml:space="preserve"> </w:t>
            </w:r>
            <w:r w:rsidRPr="00D333A9">
              <w:rPr>
                <w:rFonts w:ascii="Helvetica" w:eastAsia="Times New Roman" w:hAnsi="Helvetica" w:cs="Times New Roman"/>
                <w:color w:val="000000"/>
                <w:sz w:val="21"/>
                <w:szCs w:val="21"/>
                <w:lang w:val="nl-BE"/>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15,4</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12,32</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1,2</w:t>
            </w:r>
          </w:p>
        </w:tc>
      </w:tr>
      <w:tr w:rsidR="00E966BC" w:rsidRPr="00D333A9" w:rsidTr="00502BAD">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pPr>
              <w:rPr>
                <w:rFonts w:ascii="Helvetica" w:eastAsia="Times New Roman" w:hAnsi="Helvetica" w:cs="Times New Roman"/>
                <w:color w:val="000000"/>
                <w:sz w:val="21"/>
                <w:szCs w:val="21"/>
                <w:lang w:val="nl-BE"/>
              </w:rPr>
            </w:pPr>
            <w:r w:rsidRPr="00D333A9">
              <w:rPr>
                <w:rFonts w:ascii="Helvetica" w:eastAsia="Times New Roman" w:hAnsi="Helvetica" w:cs="Times New Roman"/>
                <w:bCs/>
                <w:color w:val="000000"/>
                <w:sz w:val="21"/>
                <w:szCs w:val="21"/>
                <w:lang w:val="nl-BE"/>
              </w:rPr>
              <w:t>Shooter</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20</w:t>
            </w:r>
            <w:r w:rsidR="00945F8C">
              <w:rPr>
                <w:rFonts w:ascii="Helvetica" w:eastAsia="Times New Roman" w:hAnsi="Helvetica" w:cs="Times New Roman"/>
                <w:color w:val="000000"/>
                <w:sz w:val="21"/>
                <w:szCs w:val="21"/>
                <w:lang w:val="nl-BE"/>
              </w:rPr>
              <w:t xml:space="preserve"> </w:t>
            </w:r>
            <w:r w:rsidRPr="00D333A9">
              <w:rPr>
                <w:rFonts w:ascii="Helvetica" w:eastAsia="Times New Roman" w:hAnsi="Helvetica" w:cs="Times New Roman"/>
                <w:color w:val="000000"/>
                <w:sz w:val="21"/>
                <w:szCs w:val="21"/>
                <w:lang w:val="nl-BE"/>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0,3</w:t>
            </w:r>
          </w:p>
        </w:tc>
      </w:tr>
      <w:tr w:rsidR="00E966BC" w:rsidRPr="00D333A9" w:rsidTr="00502BAD">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146519">
            <w:pPr>
              <w:rPr>
                <w:rFonts w:ascii="Helvetica" w:eastAsia="Times New Roman" w:hAnsi="Helvetica" w:cs="Times New Roman"/>
                <w:color w:val="000000"/>
                <w:sz w:val="21"/>
                <w:szCs w:val="21"/>
                <w:lang w:val="nl-BE"/>
              </w:rPr>
            </w:pPr>
            <w:r w:rsidRPr="00D333A9">
              <w:rPr>
                <w:rFonts w:ascii="Helvetica" w:eastAsia="Times New Roman" w:hAnsi="Helvetica" w:cs="Times New Roman"/>
                <w:bCs/>
                <w:color w:val="000000"/>
                <w:sz w:val="21"/>
                <w:szCs w:val="21"/>
                <w:lang w:val="nl-BE"/>
              </w:rPr>
              <w:t>Verre alcool fort</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35</w:t>
            </w:r>
            <w:r w:rsidR="00945F8C">
              <w:rPr>
                <w:rFonts w:ascii="Helvetica" w:eastAsia="Times New Roman" w:hAnsi="Helvetica" w:cs="Times New Roman"/>
                <w:color w:val="000000"/>
                <w:sz w:val="21"/>
                <w:szCs w:val="21"/>
                <w:lang w:val="nl-BE"/>
              </w:rPr>
              <w:t xml:space="preserve"> </w:t>
            </w:r>
            <w:r w:rsidRPr="00D333A9">
              <w:rPr>
                <w:rFonts w:ascii="Helvetica" w:eastAsia="Times New Roman" w:hAnsi="Helvetica" w:cs="Times New Roman"/>
                <w:color w:val="000000"/>
                <w:sz w:val="21"/>
                <w:szCs w:val="21"/>
                <w:lang w:val="nl-BE"/>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12,25</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1</w:t>
            </w:r>
          </w:p>
        </w:tc>
      </w:tr>
      <w:tr w:rsidR="00E966BC" w:rsidRPr="00D333A9" w:rsidTr="00502BAD">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146519">
            <w:pPr>
              <w:rPr>
                <w:rFonts w:ascii="Helvetica" w:eastAsia="Times New Roman" w:hAnsi="Helvetica" w:cs="Times New Roman"/>
                <w:color w:val="000000"/>
                <w:sz w:val="21"/>
                <w:szCs w:val="21"/>
                <w:lang w:val="nl-BE"/>
              </w:rPr>
            </w:pPr>
            <w:r w:rsidRPr="00D333A9">
              <w:rPr>
                <w:rFonts w:ascii="Helvetica" w:eastAsia="Times New Roman" w:hAnsi="Helvetica" w:cs="Times New Roman"/>
                <w:bCs/>
                <w:color w:val="000000"/>
                <w:sz w:val="21"/>
                <w:szCs w:val="21"/>
                <w:lang w:val="nl-BE"/>
              </w:rPr>
              <w:t>Bouteille alcool fort</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750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35</w:t>
            </w:r>
            <w:r w:rsidR="00945F8C">
              <w:rPr>
                <w:rFonts w:ascii="Helvetica" w:eastAsia="Times New Roman" w:hAnsi="Helvetica" w:cs="Times New Roman"/>
                <w:color w:val="000000"/>
                <w:sz w:val="21"/>
                <w:szCs w:val="21"/>
                <w:lang w:val="nl-BE"/>
              </w:rPr>
              <w:t xml:space="preserve"> </w:t>
            </w:r>
            <w:r w:rsidRPr="00D333A9">
              <w:rPr>
                <w:rFonts w:ascii="Helvetica" w:eastAsia="Times New Roman" w:hAnsi="Helvetica" w:cs="Times New Roman"/>
                <w:color w:val="000000"/>
                <w:sz w:val="21"/>
                <w:szCs w:val="21"/>
                <w:lang w:val="nl-BE"/>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262,5</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BAD" w:rsidRPr="00D333A9" w:rsidRDefault="00502BAD" w:rsidP="00280959">
            <w:pPr>
              <w:jc w:val="center"/>
              <w:rPr>
                <w:rFonts w:ascii="Helvetica" w:eastAsia="Times New Roman" w:hAnsi="Helvetica" w:cs="Times New Roman"/>
                <w:color w:val="000000"/>
                <w:sz w:val="21"/>
                <w:szCs w:val="21"/>
                <w:lang w:val="nl-BE"/>
              </w:rPr>
            </w:pPr>
            <w:r w:rsidRPr="00D333A9">
              <w:rPr>
                <w:rFonts w:ascii="Helvetica" w:eastAsia="Times New Roman" w:hAnsi="Helvetica" w:cs="Times New Roman"/>
                <w:color w:val="000000"/>
                <w:sz w:val="21"/>
                <w:szCs w:val="21"/>
                <w:lang w:val="nl-BE"/>
              </w:rPr>
              <w:t>21</w:t>
            </w:r>
          </w:p>
        </w:tc>
      </w:tr>
    </w:tbl>
    <w:p w:rsidR="00502BAD" w:rsidRPr="00D333A9" w:rsidRDefault="0063276E" w:rsidP="0063276E">
      <w:pPr>
        <w:tabs>
          <w:tab w:val="left" w:pos="2745"/>
        </w:tabs>
        <w:rPr>
          <w:rFonts w:ascii="Times New Roman" w:eastAsia="Times New Roman" w:hAnsi="Times New Roman" w:cs="Times New Roman"/>
          <w:sz w:val="20"/>
          <w:szCs w:val="20"/>
          <w:lang w:val="nl-BE" w:eastAsia="nl-NL"/>
        </w:rPr>
      </w:pPr>
      <w:r w:rsidRPr="00D333A9">
        <w:rPr>
          <w:rFonts w:ascii="Times New Roman" w:eastAsia="Times New Roman" w:hAnsi="Times New Roman" w:cs="Times New Roman"/>
          <w:sz w:val="20"/>
          <w:szCs w:val="20"/>
          <w:lang w:val="nl-BE" w:eastAsia="nl-NL"/>
        </w:rPr>
        <w:tab/>
      </w:r>
    </w:p>
    <w:p w:rsidR="00B07709" w:rsidRPr="00D333A9" w:rsidRDefault="0063276E" w:rsidP="00B07709">
      <w:pPr>
        <w:pStyle w:val="Titre2"/>
        <w:rPr>
          <w:lang w:val="fr-BE"/>
        </w:rPr>
      </w:pPr>
      <w:r w:rsidRPr="00D333A9">
        <w:rPr>
          <w:lang w:val="fr-BE"/>
        </w:rPr>
        <w:t xml:space="preserve">Consommation d’alcool </w:t>
      </w:r>
      <w:r w:rsidR="002E4B21" w:rsidRPr="00D333A9">
        <w:rPr>
          <w:lang w:val="fr-BE"/>
        </w:rPr>
        <w:t>en Belgique</w:t>
      </w:r>
    </w:p>
    <w:p w:rsidR="00E23C08" w:rsidRPr="00D333A9" w:rsidRDefault="00E23C08" w:rsidP="008B401A">
      <w:pPr>
        <w:autoSpaceDE w:val="0"/>
        <w:autoSpaceDN w:val="0"/>
        <w:adjustRightInd w:val="0"/>
        <w:rPr>
          <w:rFonts w:cs="Arial"/>
          <w:lang w:val="fr-BE"/>
        </w:rPr>
      </w:pPr>
      <w:r w:rsidRPr="00D333A9">
        <w:rPr>
          <w:rFonts w:cs="Arial"/>
          <w:lang w:val="fr-BE"/>
        </w:rPr>
        <w:t>Selon l’enquête de santé de 2013 (</w:t>
      </w:r>
      <w:proofErr w:type="spellStart"/>
      <w:r w:rsidR="002E4B21" w:rsidRPr="00D333A9">
        <w:rPr>
          <w:rFonts w:cs="Arial"/>
          <w:lang w:val="fr-BE"/>
        </w:rPr>
        <w:t>Gisle</w:t>
      </w:r>
      <w:proofErr w:type="spellEnd"/>
      <w:r w:rsidRPr="00D333A9">
        <w:rPr>
          <w:rFonts w:cs="Arial"/>
          <w:lang w:val="fr-BE"/>
        </w:rPr>
        <w:t>, 2014), 82</w:t>
      </w:r>
      <w:r w:rsidR="00945F8C">
        <w:rPr>
          <w:rFonts w:cs="Arial"/>
          <w:lang w:val="fr-BE"/>
        </w:rPr>
        <w:t xml:space="preserve"> </w:t>
      </w:r>
      <w:r w:rsidRPr="00D333A9">
        <w:rPr>
          <w:rFonts w:cs="Arial"/>
          <w:lang w:val="fr-BE"/>
        </w:rPr>
        <w:t xml:space="preserve">% des belges âgés de 15 ans et plus </w:t>
      </w:r>
      <w:r w:rsidR="002E4B21" w:rsidRPr="00D333A9">
        <w:rPr>
          <w:rFonts w:cs="Arial"/>
          <w:lang w:val="fr-BE"/>
        </w:rPr>
        <w:t xml:space="preserve">ont </w:t>
      </w:r>
      <w:r w:rsidRPr="00D333A9">
        <w:rPr>
          <w:rFonts w:cs="Arial"/>
          <w:lang w:val="fr-BE"/>
        </w:rPr>
        <w:t>consomm</w:t>
      </w:r>
      <w:r w:rsidR="002E4B21" w:rsidRPr="00D333A9">
        <w:rPr>
          <w:rFonts w:cs="Arial"/>
          <w:lang w:val="fr-BE"/>
        </w:rPr>
        <w:t>é</w:t>
      </w:r>
      <w:r w:rsidRPr="00D333A9">
        <w:rPr>
          <w:rFonts w:cs="Arial"/>
          <w:lang w:val="fr-BE"/>
        </w:rPr>
        <w:t xml:space="preserve"> de l’alcool</w:t>
      </w:r>
      <w:r w:rsidR="002E4B21" w:rsidRPr="00D333A9">
        <w:rPr>
          <w:rFonts w:cs="Arial"/>
          <w:lang w:val="fr-BE"/>
        </w:rPr>
        <w:t xml:space="preserve"> l’année précédente</w:t>
      </w:r>
      <w:r w:rsidRPr="00D333A9">
        <w:rPr>
          <w:rFonts w:cs="Arial"/>
          <w:lang w:val="fr-BE"/>
        </w:rPr>
        <w:t>. Ce taux est stable depuis 1997. Les buveurs hebdomadaires ont une consommation moyenne de 11 verres d’alcool par semaine (comme en 2008) et la surconsommation hebdomadaire (plus de 14 verres par semaine pour les femmes et 21 verres par semaine pour les hommes) concerne 13</w:t>
      </w:r>
      <w:r w:rsidR="00FD0D1A">
        <w:rPr>
          <w:rFonts w:cs="Arial"/>
          <w:lang w:val="fr-BE"/>
        </w:rPr>
        <w:t xml:space="preserve"> </w:t>
      </w:r>
      <w:r w:rsidRPr="00D333A9">
        <w:rPr>
          <w:rFonts w:cs="Arial"/>
          <w:lang w:val="fr-BE"/>
        </w:rPr>
        <w:t>% des buveurs hebdomadaires (</w:t>
      </w:r>
      <w:r w:rsidR="00D733D5" w:rsidRPr="00D333A9">
        <w:rPr>
          <w:rFonts w:cs="Arial"/>
          <w:lang w:val="fr-BE"/>
        </w:rPr>
        <w:t>ce qui représente</w:t>
      </w:r>
      <w:r w:rsidR="006829C6" w:rsidRPr="00D333A9">
        <w:rPr>
          <w:rFonts w:cs="Arial"/>
          <w:lang w:val="fr-BE"/>
        </w:rPr>
        <w:t xml:space="preserve"> </w:t>
      </w:r>
      <w:r w:rsidRPr="00D333A9">
        <w:rPr>
          <w:rFonts w:cs="Arial"/>
          <w:lang w:val="fr-BE"/>
        </w:rPr>
        <w:t>6</w:t>
      </w:r>
      <w:r w:rsidR="00945F8C">
        <w:rPr>
          <w:rFonts w:cs="Arial"/>
          <w:lang w:val="fr-BE"/>
        </w:rPr>
        <w:t xml:space="preserve"> </w:t>
      </w:r>
      <w:r w:rsidRPr="00D333A9">
        <w:rPr>
          <w:rFonts w:cs="Arial"/>
          <w:lang w:val="fr-BE"/>
        </w:rPr>
        <w:t>% de la population totale âgée de 15 ans et plus). On constate à ce niveau une tendance à la</w:t>
      </w:r>
      <w:r w:rsidR="0091074D">
        <w:rPr>
          <w:rFonts w:cs="Arial"/>
          <w:lang w:val="fr-BE"/>
        </w:rPr>
        <w:t xml:space="preserve"> baisse (respectivement 14</w:t>
      </w:r>
      <w:r w:rsidR="00945F8C">
        <w:rPr>
          <w:rFonts w:cs="Arial"/>
          <w:lang w:val="fr-BE"/>
        </w:rPr>
        <w:t xml:space="preserve"> </w:t>
      </w:r>
      <w:r w:rsidR="0091074D">
        <w:rPr>
          <w:rFonts w:cs="Arial"/>
          <w:lang w:val="fr-BE"/>
        </w:rPr>
        <w:t>% et 9</w:t>
      </w:r>
      <w:r w:rsidR="00945F8C">
        <w:rPr>
          <w:rFonts w:cs="Arial"/>
          <w:lang w:val="fr-BE"/>
        </w:rPr>
        <w:t xml:space="preserve"> </w:t>
      </w:r>
      <w:r w:rsidRPr="00D333A9">
        <w:rPr>
          <w:rFonts w:cs="Arial"/>
          <w:lang w:val="fr-BE"/>
        </w:rPr>
        <w:t>% en 2008). Il y a 14</w:t>
      </w:r>
      <w:r w:rsidR="00945F8C">
        <w:rPr>
          <w:rFonts w:cs="Arial"/>
          <w:lang w:val="fr-BE"/>
        </w:rPr>
        <w:t xml:space="preserve"> </w:t>
      </w:r>
      <w:r w:rsidRPr="00D333A9">
        <w:rPr>
          <w:rFonts w:cs="Arial"/>
          <w:lang w:val="fr-BE"/>
        </w:rPr>
        <w:t>% de consommateurs quotidiens (12</w:t>
      </w:r>
      <w:r w:rsidR="00945F8C">
        <w:rPr>
          <w:rFonts w:cs="Arial"/>
          <w:lang w:val="fr-BE"/>
        </w:rPr>
        <w:t xml:space="preserve"> </w:t>
      </w:r>
      <w:r w:rsidRPr="00D333A9">
        <w:rPr>
          <w:rFonts w:cs="Arial"/>
          <w:lang w:val="fr-BE"/>
        </w:rPr>
        <w:t>% en 2008)</w:t>
      </w:r>
      <w:r w:rsidR="008B401A" w:rsidRPr="00D333A9">
        <w:rPr>
          <w:rFonts w:cs="Arial"/>
          <w:lang w:val="fr-BE"/>
        </w:rPr>
        <w:t xml:space="preserve">. </w:t>
      </w:r>
      <w:r w:rsidR="0025301D" w:rsidRPr="00D333A9">
        <w:rPr>
          <w:rFonts w:cs="Arial"/>
          <w:lang w:val="fr-BE"/>
        </w:rPr>
        <w:t>La consommation d’alcool au quotidien est</w:t>
      </w:r>
      <w:r w:rsidR="0025301D">
        <w:rPr>
          <w:rFonts w:cs="Arial"/>
          <w:lang w:val="fr-BE"/>
        </w:rPr>
        <w:t xml:space="preserve"> </w:t>
      </w:r>
      <w:r w:rsidR="0025301D" w:rsidRPr="00D333A9">
        <w:rPr>
          <w:rFonts w:cs="Arial"/>
          <w:lang w:val="fr-BE"/>
        </w:rPr>
        <w:t>plus fréquente à mesure que l’on progresse en âge (1</w:t>
      </w:r>
      <w:r w:rsidR="00945F8C">
        <w:rPr>
          <w:rFonts w:cs="Arial"/>
          <w:lang w:val="fr-BE"/>
        </w:rPr>
        <w:t xml:space="preserve"> </w:t>
      </w:r>
      <w:r w:rsidR="0025301D" w:rsidRPr="00D333A9">
        <w:rPr>
          <w:rFonts w:cs="Arial"/>
          <w:lang w:val="fr-BE"/>
        </w:rPr>
        <w:t xml:space="preserve">% chez les </w:t>
      </w:r>
      <w:r w:rsidR="0091074D">
        <w:rPr>
          <w:rFonts w:cs="Arial"/>
          <w:lang w:val="fr-BE"/>
        </w:rPr>
        <w:t>15-24 ans</w:t>
      </w:r>
      <w:r w:rsidR="0025301D" w:rsidRPr="00D333A9">
        <w:rPr>
          <w:rFonts w:cs="Arial"/>
          <w:lang w:val="fr-BE"/>
        </w:rPr>
        <w:t>, 25</w:t>
      </w:r>
      <w:r w:rsidR="00945F8C">
        <w:rPr>
          <w:rFonts w:cs="Arial"/>
          <w:lang w:val="fr-BE"/>
        </w:rPr>
        <w:t xml:space="preserve"> </w:t>
      </w:r>
      <w:r w:rsidR="0025301D" w:rsidRPr="00D333A9">
        <w:rPr>
          <w:rFonts w:cs="Arial"/>
          <w:lang w:val="fr-BE"/>
        </w:rPr>
        <w:t>% chez les 55-74 ans).</w:t>
      </w:r>
      <w:r w:rsidR="0025301D">
        <w:rPr>
          <w:rFonts w:cs="Arial"/>
          <w:lang w:val="fr-BE"/>
        </w:rPr>
        <w:t xml:space="preserve"> </w:t>
      </w:r>
      <w:r w:rsidR="00945F8C">
        <w:rPr>
          <w:rFonts w:cs="Arial"/>
          <w:lang w:val="fr-BE"/>
        </w:rPr>
        <w:t>10,</w:t>
      </w:r>
      <w:r w:rsidRPr="00D333A9">
        <w:rPr>
          <w:rFonts w:cs="Arial"/>
          <w:lang w:val="fr-BE"/>
        </w:rPr>
        <w:t>5</w:t>
      </w:r>
      <w:r w:rsidR="00945F8C">
        <w:rPr>
          <w:rFonts w:cs="Arial"/>
          <w:lang w:val="fr-BE"/>
        </w:rPr>
        <w:t xml:space="preserve"> </w:t>
      </w:r>
      <w:r w:rsidRPr="00D333A9">
        <w:rPr>
          <w:rFonts w:cs="Arial"/>
          <w:lang w:val="fr-BE"/>
        </w:rPr>
        <w:t>% d</w:t>
      </w:r>
      <w:r w:rsidR="00136047" w:rsidRPr="00D333A9">
        <w:rPr>
          <w:rFonts w:cs="Arial"/>
          <w:lang w:val="fr-BE"/>
        </w:rPr>
        <w:t xml:space="preserve">es </w:t>
      </w:r>
      <w:r w:rsidRPr="00D333A9">
        <w:rPr>
          <w:rFonts w:cs="Arial"/>
          <w:lang w:val="fr-BE"/>
        </w:rPr>
        <w:t>individus ont une consommation problématique d’alcool (</w:t>
      </w:r>
      <w:r w:rsidR="008B401A" w:rsidRPr="00D333A9">
        <w:rPr>
          <w:rFonts w:cs="Arial"/>
          <w:lang w:val="fr-BE"/>
        </w:rPr>
        <w:t>10</w:t>
      </w:r>
      <w:r w:rsidR="00945F8C">
        <w:rPr>
          <w:rFonts w:cs="Arial"/>
          <w:lang w:val="fr-BE"/>
        </w:rPr>
        <w:t xml:space="preserve"> </w:t>
      </w:r>
      <w:r w:rsidR="008B401A" w:rsidRPr="00D333A9">
        <w:rPr>
          <w:rFonts w:cs="Arial"/>
          <w:lang w:val="fr-BE"/>
        </w:rPr>
        <w:t xml:space="preserve">% en 2008). </w:t>
      </w:r>
      <w:r w:rsidRPr="00D333A9">
        <w:rPr>
          <w:rFonts w:cs="Arial"/>
          <w:lang w:val="fr-BE"/>
        </w:rPr>
        <w:t>8</w:t>
      </w:r>
      <w:r w:rsidR="00945F8C">
        <w:rPr>
          <w:rFonts w:cs="Arial"/>
          <w:lang w:val="fr-BE"/>
        </w:rPr>
        <w:t xml:space="preserve"> </w:t>
      </w:r>
      <w:r w:rsidRPr="00D333A9">
        <w:rPr>
          <w:rFonts w:cs="Arial"/>
          <w:lang w:val="fr-BE"/>
        </w:rPr>
        <w:t xml:space="preserve">% </w:t>
      </w:r>
      <w:r w:rsidR="008B401A" w:rsidRPr="00D333A9">
        <w:rPr>
          <w:rFonts w:cs="Arial"/>
          <w:lang w:val="fr-BE"/>
        </w:rPr>
        <w:t>présente</w:t>
      </w:r>
      <w:r w:rsidRPr="00D333A9">
        <w:rPr>
          <w:rFonts w:cs="Arial"/>
          <w:lang w:val="fr-BE"/>
        </w:rPr>
        <w:t xml:space="preserve"> une hyper-alcoolisation hebdomadaire (boire 6 verres ou plus d’alcool en une même occasion au moins une fois par semaine)</w:t>
      </w:r>
      <w:r w:rsidR="008B401A" w:rsidRPr="00D333A9">
        <w:rPr>
          <w:rFonts w:cs="Arial"/>
          <w:lang w:val="fr-BE"/>
        </w:rPr>
        <w:t xml:space="preserve">, et on constate à ce niveau une </w:t>
      </w:r>
      <w:r w:rsidRPr="00D333A9">
        <w:rPr>
          <w:rFonts w:cs="Arial"/>
          <w:lang w:val="fr-BE"/>
        </w:rPr>
        <w:t>progression chez les jeunes de 15 à 24 ans (de 12</w:t>
      </w:r>
      <w:r w:rsidR="00945F8C">
        <w:rPr>
          <w:rFonts w:cs="Arial"/>
          <w:lang w:val="fr-BE"/>
        </w:rPr>
        <w:t xml:space="preserve"> </w:t>
      </w:r>
      <w:r w:rsidRPr="00D333A9">
        <w:rPr>
          <w:rFonts w:cs="Arial"/>
          <w:lang w:val="fr-BE"/>
        </w:rPr>
        <w:t>% en 2008 à 14</w:t>
      </w:r>
      <w:r w:rsidR="00945F8C">
        <w:rPr>
          <w:rFonts w:cs="Arial"/>
          <w:lang w:val="fr-BE"/>
        </w:rPr>
        <w:t xml:space="preserve"> </w:t>
      </w:r>
      <w:r w:rsidRPr="00D333A9">
        <w:rPr>
          <w:rFonts w:cs="Arial"/>
          <w:lang w:val="fr-BE"/>
        </w:rPr>
        <w:t xml:space="preserve">% en 2013). </w:t>
      </w:r>
    </w:p>
    <w:p w:rsidR="009D0F92" w:rsidRPr="00D333A9" w:rsidRDefault="008B401A" w:rsidP="00DF5F04">
      <w:pPr>
        <w:ind w:right="2"/>
        <w:rPr>
          <w:rFonts w:cs="Arial"/>
          <w:lang w:val="fr-BE"/>
        </w:rPr>
      </w:pPr>
      <w:r w:rsidRPr="00D333A9">
        <w:rPr>
          <w:rFonts w:cs="Arial"/>
          <w:lang w:val="fr-BE"/>
        </w:rPr>
        <w:t>Selon cette enquête de santé, l</w:t>
      </w:r>
      <w:r w:rsidR="00E23C08" w:rsidRPr="00D333A9">
        <w:rPr>
          <w:rFonts w:cs="Arial"/>
          <w:lang w:val="fr-BE"/>
        </w:rPr>
        <w:t xml:space="preserve">es jeunes de 15 à 24 ans, et en particulier les jeunes hommes, forment un groupe à risque important, </w:t>
      </w:r>
      <w:r w:rsidR="001F50D4" w:rsidRPr="00D333A9">
        <w:rPr>
          <w:rFonts w:cs="Arial"/>
          <w:lang w:val="fr-BE"/>
        </w:rPr>
        <w:t>pour lequel</w:t>
      </w:r>
      <w:r w:rsidR="00E23C08" w:rsidRPr="00D333A9">
        <w:rPr>
          <w:rFonts w:cs="Arial"/>
          <w:lang w:val="fr-BE"/>
        </w:rPr>
        <w:t xml:space="preserve"> les actions devraient être menées en priorité. </w:t>
      </w:r>
    </w:p>
    <w:p w:rsidR="00DD7FDA" w:rsidRPr="00D333A9" w:rsidRDefault="00DD7FDA" w:rsidP="00D733D5">
      <w:pPr>
        <w:autoSpaceDE w:val="0"/>
        <w:autoSpaceDN w:val="0"/>
        <w:adjustRightInd w:val="0"/>
        <w:rPr>
          <w:rFonts w:cs="Arial"/>
          <w:lang w:val="fr-BE"/>
        </w:rPr>
      </w:pPr>
    </w:p>
    <w:p w:rsidR="00CC4449" w:rsidRPr="00D333A9" w:rsidRDefault="00CC4449" w:rsidP="00CC4449">
      <w:pPr>
        <w:ind w:right="2"/>
        <w:rPr>
          <w:rFonts w:cs="Arial"/>
          <w:lang w:val="fr-BE"/>
        </w:rPr>
      </w:pPr>
      <w:r w:rsidRPr="00D333A9">
        <w:rPr>
          <w:rFonts w:cs="Arial"/>
          <w:lang w:val="fr-BE"/>
        </w:rPr>
        <w:t xml:space="preserve">Table </w:t>
      </w:r>
      <w:r w:rsidR="00BF43A5" w:rsidRPr="00D333A9">
        <w:rPr>
          <w:rFonts w:cs="Arial"/>
          <w:lang w:val="fr-BE"/>
        </w:rPr>
        <w:t>3</w:t>
      </w:r>
      <w:r w:rsidRPr="00D333A9">
        <w:rPr>
          <w:rFonts w:cs="Arial"/>
          <w:lang w:val="fr-BE"/>
        </w:rPr>
        <w:t> : Evolution de la consommation d’alcool selon l’enquête de santé</w:t>
      </w:r>
    </w:p>
    <w:tbl>
      <w:tblPr>
        <w:tblStyle w:val="Grilledutableau"/>
        <w:tblW w:w="0" w:type="auto"/>
        <w:tblLook w:val="04A0" w:firstRow="1" w:lastRow="0" w:firstColumn="1" w:lastColumn="0" w:noHBand="0" w:noVBand="1"/>
      </w:tblPr>
      <w:tblGrid>
        <w:gridCol w:w="5807"/>
        <w:gridCol w:w="992"/>
        <w:gridCol w:w="2127"/>
      </w:tblGrid>
      <w:tr w:rsidR="00CC4449" w:rsidRPr="00D333A9" w:rsidTr="0098025D">
        <w:tc>
          <w:tcPr>
            <w:tcW w:w="5807" w:type="dxa"/>
          </w:tcPr>
          <w:p w:rsidR="00CC4449" w:rsidRPr="00D333A9" w:rsidRDefault="00CC4449" w:rsidP="0098025D">
            <w:pPr>
              <w:rPr>
                <w:sz w:val="22"/>
                <w:szCs w:val="22"/>
                <w:lang w:val="fr-BE"/>
              </w:rPr>
            </w:pPr>
          </w:p>
        </w:tc>
        <w:tc>
          <w:tcPr>
            <w:tcW w:w="992" w:type="dxa"/>
          </w:tcPr>
          <w:p w:rsidR="00CC4449" w:rsidRPr="00D333A9" w:rsidRDefault="00CC4449" w:rsidP="00280959">
            <w:pPr>
              <w:jc w:val="center"/>
              <w:rPr>
                <w:b/>
                <w:sz w:val="22"/>
                <w:szCs w:val="22"/>
                <w:lang w:val="fr-BE"/>
              </w:rPr>
            </w:pPr>
            <w:r w:rsidRPr="00D333A9">
              <w:rPr>
                <w:b/>
                <w:sz w:val="22"/>
                <w:szCs w:val="22"/>
                <w:lang w:val="fr-BE"/>
              </w:rPr>
              <w:t>2008</w:t>
            </w:r>
          </w:p>
        </w:tc>
        <w:tc>
          <w:tcPr>
            <w:tcW w:w="2127" w:type="dxa"/>
          </w:tcPr>
          <w:p w:rsidR="00CC4449" w:rsidRPr="00D333A9" w:rsidRDefault="00CC4449" w:rsidP="00280959">
            <w:pPr>
              <w:jc w:val="center"/>
              <w:rPr>
                <w:b/>
                <w:sz w:val="22"/>
                <w:szCs w:val="22"/>
                <w:lang w:val="fr-BE"/>
              </w:rPr>
            </w:pPr>
            <w:r w:rsidRPr="00D333A9">
              <w:rPr>
                <w:b/>
                <w:sz w:val="22"/>
                <w:szCs w:val="22"/>
                <w:lang w:val="fr-BE"/>
              </w:rPr>
              <w:t>2013</w:t>
            </w:r>
          </w:p>
        </w:tc>
      </w:tr>
      <w:tr w:rsidR="006829C6" w:rsidRPr="00D333A9" w:rsidTr="006829C6">
        <w:tc>
          <w:tcPr>
            <w:tcW w:w="5807" w:type="dxa"/>
          </w:tcPr>
          <w:p w:rsidR="006829C6" w:rsidRPr="00D333A9" w:rsidRDefault="006829C6" w:rsidP="0098025D">
            <w:pPr>
              <w:rPr>
                <w:sz w:val="22"/>
                <w:szCs w:val="22"/>
                <w:lang w:val="fr-BE"/>
              </w:rPr>
            </w:pPr>
            <w:r w:rsidRPr="00D333A9">
              <w:rPr>
                <w:sz w:val="22"/>
                <w:szCs w:val="22"/>
                <w:lang w:val="fr-BE"/>
              </w:rPr>
              <w:t>Consommation année précédente chez les &gt; 15 ans</w:t>
            </w:r>
          </w:p>
        </w:tc>
        <w:tc>
          <w:tcPr>
            <w:tcW w:w="992" w:type="dxa"/>
          </w:tcPr>
          <w:p w:rsidR="006829C6" w:rsidRPr="00D333A9" w:rsidRDefault="006829C6" w:rsidP="006829C6">
            <w:pPr>
              <w:jc w:val="center"/>
              <w:rPr>
                <w:lang w:val="fr-BE"/>
              </w:rPr>
            </w:pPr>
            <w:r w:rsidRPr="00D333A9">
              <w:rPr>
                <w:sz w:val="22"/>
                <w:szCs w:val="22"/>
                <w:lang w:val="fr-BE"/>
              </w:rPr>
              <w:t>80</w:t>
            </w:r>
            <w:r w:rsidR="001261B7">
              <w:rPr>
                <w:sz w:val="22"/>
                <w:szCs w:val="22"/>
                <w:lang w:val="fr-BE"/>
              </w:rPr>
              <w:t xml:space="preserve"> </w:t>
            </w:r>
            <w:r w:rsidRPr="00D333A9">
              <w:rPr>
                <w:sz w:val="22"/>
                <w:szCs w:val="22"/>
                <w:lang w:val="fr-BE"/>
              </w:rPr>
              <w:t xml:space="preserve">% </w:t>
            </w:r>
          </w:p>
        </w:tc>
        <w:tc>
          <w:tcPr>
            <w:tcW w:w="2127" w:type="dxa"/>
          </w:tcPr>
          <w:p w:rsidR="006829C6" w:rsidRPr="00D333A9" w:rsidRDefault="006829C6" w:rsidP="006829C6">
            <w:pPr>
              <w:jc w:val="center"/>
              <w:rPr>
                <w:sz w:val="22"/>
                <w:szCs w:val="22"/>
                <w:lang w:val="fr-BE"/>
              </w:rPr>
            </w:pPr>
            <w:r w:rsidRPr="00D333A9">
              <w:rPr>
                <w:sz w:val="22"/>
                <w:szCs w:val="22"/>
                <w:lang w:val="fr-BE"/>
              </w:rPr>
              <w:t>82</w:t>
            </w:r>
            <w:r w:rsidR="001261B7">
              <w:rPr>
                <w:sz w:val="22"/>
                <w:szCs w:val="22"/>
                <w:lang w:val="fr-BE"/>
              </w:rPr>
              <w:t xml:space="preserve"> </w:t>
            </w:r>
            <w:r w:rsidRPr="00D333A9">
              <w:rPr>
                <w:sz w:val="22"/>
                <w:szCs w:val="22"/>
                <w:lang w:val="fr-BE"/>
              </w:rPr>
              <w:t>%</w:t>
            </w:r>
          </w:p>
        </w:tc>
      </w:tr>
      <w:tr w:rsidR="00CC4449" w:rsidRPr="00D333A9" w:rsidTr="0098025D">
        <w:tc>
          <w:tcPr>
            <w:tcW w:w="5807" w:type="dxa"/>
          </w:tcPr>
          <w:p w:rsidR="00CC4449" w:rsidRPr="00D333A9" w:rsidRDefault="00CC4449" w:rsidP="0098025D">
            <w:pPr>
              <w:rPr>
                <w:sz w:val="22"/>
                <w:szCs w:val="22"/>
                <w:lang w:val="fr-BE"/>
              </w:rPr>
            </w:pPr>
            <w:r w:rsidRPr="00D333A9">
              <w:rPr>
                <w:sz w:val="22"/>
                <w:szCs w:val="22"/>
                <w:lang w:val="fr-BE"/>
              </w:rPr>
              <w:t>Consommation moyenne des buveurs hebdomadaires</w:t>
            </w:r>
          </w:p>
        </w:tc>
        <w:tc>
          <w:tcPr>
            <w:tcW w:w="3119" w:type="dxa"/>
            <w:gridSpan w:val="2"/>
          </w:tcPr>
          <w:p w:rsidR="00CC4449" w:rsidRPr="00D333A9" w:rsidRDefault="00CC4449" w:rsidP="00280959">
            <w:pPr>
              <w:jc w:val="center"/>
              <w:rPr>
                <w:sz w:val="22"/>
                <w:szCs w:val="22"/>
                <w:lang w:val="fr-BE"/>
              </w:rPr>
            </w:pPr>
            <w:r w:rsidRPr="00D333A9">
              <w:rPr>
                <w:sz w:val="22"/>
                <w:szCs w:val="22"/>
                <w:lang w:val="fr-BE"/>
              </w:rPr>
              <w:t>11 verres</w:t>
            </w:r>
          </w:p>
        </w:tc>
      </w:tr>
      <w:tr w:rsidR="00CC4449" w:rsidRPr="00D333A9" w:rsidTr="0098025D">
        <w:tc>
          <w:tcPr>
            <w:tcW w:w="5807" w:type="dxa"/>
          </w:tcPr>
          <w:p w:rsidR="00CC4449" w:rsidRPr="00D333A9" w:rsidRDefault="00CC4449" w:rsidP="000F3C6A">
            <w:pPr>
              <w:rPr>
                <w:sz w:val="22"/>
                <w:szCs w:val="22"/>
                <w:lang w:val="fr-BE"/>
              </w:rPr>
            </w:pPr>
            <w:r w:rsidRPr="00D333A9">
              <w:rPr>
                <w:sz w:val="22"/>
                <w:szCs w:val="22"/>
                <w:lang w:val="fr-BE"/>
              </w:rPr>
              <w:t xml:space="preserve">Surconsommation </w:t>
            </w:r>
            <w:r w:rsidR="000F3C6A" w:rsidRPr="00D333A9">
              <w:rPr>
                <w:sz w:val="22"/>
                <w:szCs w:val="22"/>
                <w:lang w:val="fr-BE"/>
              </w:rPr>
              <w:t xml:space="preserve">hebdomadaire </w:t>
            </w:r>
            <w:r w:rsidRPr="00D333A9">
              <w:rPr>
                <w:sz w:val="22"/>
                <w:szCs w:val="22"/>
                <w:lang w:val="fr-BE"/>
              </w:rPr>
              <w:t>(F : &gt; 14 ; H : &gt; 21)</w:t>
            </w:r>
          </w:p>
        </w:tc>
        <w:tc>
          <w:tcPr>
            <w:tcW w:w="992" w:type="dxa"/>
          </w:tcPr>
          <w:p w:rsidR="00CC4449" w:rsidRPr="00D333A9" w:rsidRDefault="0091074D" w:rsidP="00280959">
            <w:pPr>
              <w:jc w:val="center"/>
              <w:rPr>
                <w:sz w:val="22"/>
                <w:szCs w:val="22"/>
                <w:lang w:val="fr-BE"/>
              </w:rPr>
            </w:pPr>
            <w:r>
              <w:rPr>
                <w:sz w:val="22"/>
                <w:szCs w:val="22"/>
                <w:lang w:val="fr-BE"/>
              </w:rPr>
              <w:t>8</w:t>
            </w:r>
            <w:r w:rsidR="001261B7">
              <w:rPr>
                <w:sz w:val="22"/>
                <w:szCs w:val="22"/>
                <w:lang w:val="fr-BE"/>
              </w:rPr>
              <w:t xml:space="preserve"> </w:t>
            </w:r>
            <w:r w:rsidR="00CC4449" w:rsidRPr="00D333A9">
              <w:rPr>
                <w:sz w:val="22"/>
                <w:szCs w:val="22"/>
                <w:lang w:val="fr-BE"/>
              </w:rPr>
              <w:t>%</w:t>
            </w:r>
          </w:p>
        </w:tc>
        <w:tc>
          <w:tcPr>
            <w:tcW w:w="2127" w:type="dxa"/>
          </w:tcPr>
          <w:p w:rsidR="00CC4449" w:rsidRPr="00D333A9" w:rsidRDefault="006829C6" w:rsidP="00280959">
            <w:pPr>
              <w:jc w:val="center"/>
              <w:rPr>
                <w:sz w:val="22"/>
                <w:szCs w:val="22"/>
                <w:lang w:val="fr-BE"/>
              </w:rPr>
            </w:pPr>
            <w:r w:rsidRPr="00D333A9">
              <w:rPr>
                <w:sz w:val="22"/>
                <w:szCs w:val="22"/>
                <w:lang w:val="fr-BE"/>
              </w:rPr>
              <w:t>6</w:t>
            </w:r>
            <w:r w:rsidR="001261B7">
              <w:rPr>
                <w:sz w:val="22"/>
                <w:szCs w:val="22"/>
                <w:lang w:val="fr-BE"/>
              </w:rPr>
              <w:t xml:space="preserve"> </w:t>
            </w:r>
            <w:r w:rsidR="00CC4449" w:rsidRPr="00D333A9">
              <w:rPr>
                <w:sz w:val="22"/>
                <w:szCs w:val="22"/>
                <w:lang w:val="fr-BE"/>
              </w:rPr>
              <w:t>%</w:t>
            </w:r>
          </w:p>
        </w:tc>
      </w:tr>
      <w:tr w:rsidR="00CC4449" w:rsidRPr="00D333A9" w:rsidTr="0098025D">
        <w:tc>
          <w:tcPr>
            <w:tcW w:w="5807" w:type="dxa"/>
          </w:tcPr>
          <w:p w:rsidR="00CC4449" w:rsidRPr="00D333A9" w:rsidRDefault="00CC4449" w:rsidP="0098025D">
            <w:pPr>
              <w:rPr>
                <w:sz w:val="22"/>
                <w:szCs w:val="22"/>
                <w:lang w:val="fr-BE"/>
              </w:rPr>
            </w:pPr>
            <w:r w:rsidRPr="00D333A9">
              <w:rPr>
                <w:sz w:val="22"/>
                <w:szCs w:val="22"/>
                <w:lang w:val="fr-BE"/>
              </w:rPr>
              <w:t>Consommation quotidienne</w:t>
            </w:r>
          </w:p>
        </w:tc>
        <w:tc>
          <w:tcPr>
            <w:tcW w:w="992" w:type="dxa"/>
          </w:tcPr>
          <w:p w:rsidR="00CC4449" w:rsidRPr="00D333A9" w:rsidRDefault="00CC4449" w:rsidP="00280959">
            <w:pPr>
              <w:jc w:val="center"/>
              <w:rPr>
                <w:sz w:val="22"/>
                <w:szCs w:val="22"/>
                <w:lang w:val="fr-BE"/>
              </w:rPr>
            </w:pPr>
            <w:r w:rsidRPr="00D333A9">
              <w:rPr>
                <w:sz w:val="22"/>
                <w:szCs w:val="22"/>
                <w:lang w:val="fr-BE"/>
              </w:rPr>
              <w:t>12</w:t>
            </w:r>
            <w:r w:rsidR="001261B7">
              <w:rPr>
                <w:sz w:val="22"/>
                <w:szCs w:val="22"/>
                <w:lang w:val="fr-BE"/>
              </w:rPr>
              <w:t xml:space="preserve"> </w:t>
            </w:r>
            <w:r w:rsidRPr="00D333A9">
              <w:rPr>
                <w:sz w:val="22"/>
                <w:szCs w:val="22"/>
                <w:lang w:val="fr-BE"/>
              </w:rPr>
              <w:t>%</w:t>
            </w:r>
          </w:p>
        </w:tc>
        <w:tc>
          <w:tcPr>
            <w:tcW w:w="2127" w:type="dxa"/>
          </w:tcPr>
          <w:p w:rsidR="00CC4449" w:rsidRPr="00D333A9" w:rsidRDefault="00CC4449" w:rsidP="00280959">
            <w:pPr>
              <w:jc w:val="center"/>
              <w:rPr>
                <w:sz w:val="22"/>
                <w:szCs w:val="22"/>
                <w:lang w:val="fr-BE"/>
              </w:rPr>
            </w:pPr>
            <w:r w:rsidRPr="00D333A9">
              <w:rPr>
                <w:sz w:val="22"/>
                <w:szCs w:val="22"/>
                <w:lang w:val="fr-BE"/>
              </w:rPr>
              <w:t>14</w:t>
            </w:r>
            <w:r w:rsidR="001261B7">
              <w:rPr>
                <w:sz w:val="22"/>
                <w:szCs w:val="22"/>
                <w:lang w:val="fr-BE"/>
              </w:rPr>
              <w:t xml:space="preserve"> </w:t>
            </w:r>
            <w:r w:rsidRPr="00D333A9">
              <w:rPr>
                <w:sz w:val="22"/>
                <w:szCs w:val="22"/>
                <w:lang w:val="fr-BE"/>
              </w:rPr>
              <w:t>%</w:t>
            </w:r>
          </w:p>
        </w:tc>
      </w:tr>
      <w:tr w:rsidR="00CC4449" w:rsidRPr="00D333A9" w:rsidTr="0098025D">
        <w:tc>
          <w:tcPr>
            <w:tcW w:w="5807" w:type="dxa"/>
          </w:tcPr>
          <w:p w:rsidR="00CC4449" w:rsidRPr="00D333A9" w:rsidRDefault="00CC4449" w:rsidP="0098025D">
            <w:pPr>
              <w:rPr>
                <w:sz w:val="22"/>
                <w:szCs w:val="22"/>
                <w:lang w:val="fr-BE"/>
              </w:rPr>
            </w:pPr>
            <w:r w:rsidRPr="00D333A9">
              <w:rPr>
                <w:sz w:val="22"/>
                <w:szCs w:val="22"/>
                <w:lang w:val="fr-BE"/>
              </w:rPr>
              <w:t>Consommation problématique</w:t>
            </w:r>
          </w:p>
        </w:tc>
        <w:tc>
          <w:tcPr>
            <w:tcW w:w="992" w:type="dxa"/>
          </w:tcPr>
          <w:p w:rsidR="00CC4449" w:rsidRPr="00D333A9" w:rsidRDefault="00CC4449" w:rsidP="00280959">
            <w:pPr>
              <w:jc w:val="center"/>
              <w:rPr>
                <w:sz w:val="22"/>
                <w:szCs w:val="22"/>
                <w:lang w:val="fr-BE"/>
              </w:rPr>
            </w:pPr>
            <w:r w:rsidRPr="00D333A9">
              <w:rPr>
                <w:sz w:val="22"/>
                <w:szCs w:val="22"/>
                <w:lang w:val="fr-BE"/>
              </w:rPr>
              <w:t>10</w:t>
            </w:r>
            <w:r w:rsidR="001261B7">
              <w:rPr>
                <w:sz w:val="22"/>
                <w:szCs w:val="22"/>
                <w:lang w:val="fr-BE"/>
              </w:rPr>
              <w:t xml:space="preserve"> </w:t>
            </w:r>
            <w:r w:rsidRPr="00D333A9">
              <w:rPr>
                <w:sz w:val="22"/>
                <w:szCs w:val="22"/>
                <w:lang w:val="fr-BE"/>
              </w:rPr>
              <w:t>%</w:t>
            </w:r>
          </w:p>
        </w:tc>
        <w:tc>
          <w:tcPr>
            <w:tcW w:w="2127" w:type="dxa"/>
          </w:tcPr>
          <w:p w:rsidR="00CC4449" w:rsidRPr="00D333A9" w:rsidRDefault="000F3C6A" w:rsidP="00280959">
            <w:pPr>
              <w:jc w:val="center"/>
              <w:rPr>
                <w:sz w:val="22"/>
                <w:szCs w:val="22"/>
                <w:lang w:val="fr-BE"/>
              </w:rPr>
            </w:pPr>
            <w:r w:rsidRPr="00D333A9">
              <w:rPr>
                <w:sz w:val="22"/>
                <w:szCs w:val="22"/>
                <w:lang w:val="fr-BE"/>
              </w:rPr>
              <w:t>10,</w:t>
            </w:r>
            <w:r w:rsidR="00CC4449" w:rsidRPr="00D333A9">
              <w:rPr>
                <w:sz w:val="22"/>
                <w:szCs w:val="22"/>
                <w:lang w:val="fr-BE"/>
              </w:rPr>
              <w:t>5</w:t>
            </w:r>
            <w:r w:rsidR="001261B7">
              <w:rPr>
                <w:sz w:val="22"/>
                <w:szCs w:val="22"/>
                <w:lang w:val="fr-BE"/>
              </w:rPr>
              <w:t xml:space="preserve"> </w:t>
            </w:r>
            <w:r w:rsidR="00CC4449" w:rsidRPr="00D333A9">
              <w:rPr>
                <w:sz w:val="22"/>
                <w:szCs w:val="22"/>
                <w:lang w:val="fr-BE"/>
              </w:rPr>
              <w:t>%</w:t>
            </w:r>
          </w:p>
        </w:tc>
      </w:tr>
      <w:tr w:rsidR="000F3C6A" w:rsidRPr="00D333A9" w:rsidTr="000F3C6A">
        <w:tc>
          <w:tcPr>
            <w:tcW w:w="5807" w:type="dxa"/>
          </w:tcPr>
          <w:p w:rsidR="000F3C6A" w:rsidRPr="00D333A9" w:rsidRDefault="000F3C6A" w:rsidP="0098025D">
            <w:pPr>
              <w:rPr>
                <w:sz w:val="22"/>
                <w:szCs w:val="22"/>
                <w:lang w:val="fr-BE"/>
              </w:rPr>
            </w:pPr>
            <w:r w:rsidRPr="00D333A9">
              <w:rPr>
                <w:sz w:val="22"/>
                <w:szCs w:val="22"/>
                <w:lang w:val="fr-BE"/>
              </w:rPr>
              <w:t>Hyper-alcoolisation hebdomadaire (&gt; 6 verres au moins une fois par semaine)</w:t>
            </w:r>
          </w:p>
        </w:tc>
        <w:tc>
          <w:tcPr>
            <w:tcW w:w="992" w:type="dxa"/>
          </w:tcPr>
          <w:p w:rsidR="000F3C6A" w:rsidRPr="00D333A9" w:rsidRDefault="000F3C6A" w:rsidP="00280959">
            <w:pPr>
              <w:jc w:val="center"/>
              <w:rPr>
                <w:lang w:val="fr-BE"/>
              </w:rPr>
            </w:pPr>
            <w:r w:rsidRPr="00D333A9">
              <w:rPr>
                <w:sz w:val="22"/>
                <w:szCs w:val="22"/>
                <w:lang w:val="fr-BE"/>
              </w:rPr>
              <w:t>8</w:t>
            </w:r>
            <w:r w:rsidR="001261B7">
              <w:rPr>
                <w:sz w:val="22"/>
                <w:szCs w:val="22"/>
                <w:lang w:val="fr-BE"/>
              </w:rPr>
              <w:t xml:space="preserve"> </w:t>
            </w:r>
            <w:r w:rsidRPr="00D333A9">
              <w:rPr>
                <w:sz w:val="22"/>
                <w:szCs w:val="22"/>
                <w:lang w:val="fr-BE"/>
              </w:rPr>
              <w:t>%</w:t>
            </w:r>
          </w:p>
        </w:tc>
        <w:tc>
          <w:tcPr>
            <w:tcW w:w="2127" w:type="dxa"/>
          </w:tcPr>
          <w:p w:rsidR="000F3C6A" w:rsidRPr="00D333A9" w:rsidRDefault="000F3C6A" w:rsidP="00280959">
            <w:pPr>
              <w:jc w:val="center"/>
              <w:rPr>
                <w:sz w:val="22"/>
                <w:szCs w:val="22"/>
                <w:lang w:val="fr-BE"/>
              </w:rPr>
            </w:pPr>
            <w:r w:rsidRPr="00D333A9">
              <w:rPr>
                <w:sz w:val="22"/>
                <w:szCs w:val="22"/>
                <w:lang w:val="fr-BE"/>
              </w:rPr>
              <w:t>9</w:t>
            </w:r>
            <w:r w:rsidR="001261B7">
              <w:rPr>
                <w:sz w:val="22"/>
                <w:szCs w:val="22"/>
                <w:lang w:val="fr-BE"/>
              </w:rPr>
              <w:t xml:space="preserve"> </w:t>
            </w:r>
            <w:r w:rsidRPr="00D333A9">
              <w:rPr>
                <w:sz w:val="22"/>
                <w:szCs w:val="22"/>
                <w:lang w:val="fr-BE"/>
              </w:rPr>
              <w:t>%</w:t>
            </w:r>
          </w:p>
        </w:tc>
      </w:tr>
      <w:tr w:rsidR="00CC4449" w:rsidRPr="00D333A9" w:rsidTr="0098025D">
        <w:tc>
          <w:tcPr>
            <w:tcW w:w="5807" w:type="dxa"/>
          </w:tcPr>
          <w:p w:rsidR="00CC4449" w:rsidRPr="00D333A9" w:rsidRDefault="00CC4449" w:rsidP="0098025D">
            <w:pPr>
              <w:rPr>
                <w:sz w:val="22"/>
                <w:szCs w:val="22"/>
                <w:lang w:val="fr-BE"/>
              </w:rPr>
            </w:pPr>
            <w:proofErr w:type="spellStart"/>
            <w:r w:rsidRPr="00D333A9">
              <w:rPr>
                <w:sz w:val="22"/>
                <w:szCs w:val="22"/>
                <w:lang w:val="fr-BE"/>
              </w:rPr>
              <w:t>Hyperalcoolisation</w:t>
            </w:r>
            <w:proofErr w:type="spellEnd"/>
            <w:r w:rsidRPr="00D333A9">
              <w:rPr>
                <w:sz w:val="22"/>
                <w:szCs w:val="22"/>
                <w:lang w:val="fr-BE"/>
              </w:rPr>
              <w:t xml:space="preserve"> hebdomadaire chez les 15-24 ans</w:t>
            </w:r>
          </w:p>
        </w:tc>
        <w:tc>
          <w:tcPr>
            <w:tcW w:w="992" w:type="dxa"/>
          </w:tcPr>
          <w:p w:rsidR="00CC4449" w:rsidRPr="00D333A9" w:rsidRDefault="00CC4449" w:rsidP="00280959">
            <w:pPr>
              <w:jc w:val="center"/>
              <w:rPr>
                <w:sz w:val="22"/>
                <w:szCs w:val="22"/>
                <w:lang w:val="fr-BE"/>
              </w:rPr>
            </w:pPr>
            <w:r w:rsidRPr="00D333A9">
              <w:rPr>
                <w:sz w:val="22"/>
                <w:szCs w:val="22"/>
                <w:lang w:val="fr-BE"/>
              </w:rPr>
              <w:t>12</w:t>
            </w:r>
            <w:r w:rsidR="001261B7">
              <w:rPr>
                <w:sz w:val="22"/>
                <w:szCs w:val="22"/>
                <w:lang w:val="fr-BE"/>
              </w:rPr>
              <w:t xml:space="preserve"> </w:t>
            </w:r>
            <w:r w:rsidRPr="00D333A9">
              <w:rPr>
                <w:sz w:val="22"/>
                <w:szCs w:val="22"/>
                <w:lang w:val="fr-BE"/>
              </w:rPr>
              <w:t>%</w:t>
            </w:r>
          </w:p>
        </w:tc>
        <w:tc>
          <w:tcPr>
            <w:tcW w:w="2127" w:type="dxa"/>
          </w:tcPr>
          <w:p w:rsidR="00CC4449" w:rsidRPr="00D333A9" w:rsidRDefault="00CC4449" w:rsidP="00280959">
            <w:pPr>
              <w:jc w:val="center"/>
              <w:rPr>
                <w:sz w:val="22"/>
                <w:szCs w:val="22"/>
                <w:lang w:val="fr-BE"/>
              </w:rPr>
            </w:pPr>
            <w:r w:rsidRPr="00D333A9">
              <w:rPr>
                <w:sz w:val="22"/>
                <w:szCs w:val="22"/>
                <w:lang w:val="fr-BE"/>
              </w:rPr>
              <w:t>14</w:t>
            </w:r>
            <w:r w:rsidR="001261B7">
              <w:rPr>
                <w:sz w:val="22"/>
                <w:szCs w:val="22"/>
                <w:lang w:val="fr-BE"/>
              </w:rPr>
              <w:t xml:space="preserve"> </w:t>
            </w:r>
            <w:r w:rsidRPr="00D333A9">
              <w:rPr>
                <w:sz w:val="22"/>
                <w:szCs w:val="22"/>
                <w:lang w:val="fr-BE"/>
              </w:rPr>
              <w:t>%</w:t>
            </w:r>
          </w:p>
        </w:tc>
      </w:tr>
    </w:tbl>
    <w:p w:rsidR="00495693" w:rsidRDefault="0025301D" w:rsidP="00BB6414">
      <w:pPr>
        <w:ind w:right="2"/>
        <w:rPr>
          <w:rFonts w:cs="Arial"/>
          <w:lang w:val="fr-BE"/>
        </w:rPr>
      </w:pPr>
      <w:r>
        <w:rPr>
          <w:rFonts w:cs="Arial"/>
          <w:lang w:val="fr-BE"/>
        </w:rPr>
        <w:t xml:space="preserve">F : Femmes ; H : Hommes </w:t>
      </w:r>
    </w:p>
    <w:p w:rsidR="0025301D" w:rsidRPr="00D333A9" w:rsidRDefault="0025301D" w:rsidP="00BB6414">
      <w:pPr>
        <w:ind w:right="2"/>
        <w:rPr>
          <w:rFonts w:cs="Arial"/>
          <w:lang w:val="fr-BE"/>
        </w:rPr>
      </w:pPr>
    </w:p>
    <w:p w:rsidR="00D70458" w:rsidRPr="00D333A9" w:rsidRDefault="00D70458" w:rsidP="00D70458">
      <w:pPr>
        <w:rPr>
          <w:lang w:val="fr-BE"/>
        </w:rPr>
      </w:pPr>
      <w:r w:rsidRPr="00D333A9">
        <w:rPr>
          <w:lang w:val="fr-BE"/>
        </w:rPr>
        <w:t xml:space="preserve">L’enquête de consommation alimentaire 2014-2015 (De </w:t>
      </w:r>
      <w:proofErr w:type="spellStart"/>
      <w:r w:rsidRPr="00D333A9">
        <w:rPr>
          <w:lang w:val="fr-BE"/>
        </w:rPr>
        <w:t>Ridder</w:t>
      </w:r>
      <w:proofErr w:type="spellEnd"/>
      <w:r w:rsidRPr="00D333A9">
        <w:rPr>
          <w:lang w:val="fr-BE"/>
        </w:rPr>
        <w:t xml:space="preserve"> et al., 2016) montre quant à elle que la consommation </w:t>
      </w:r>
      <w:r w:rsidR="000E5F56" w:rsidRPr="00D333A9">
        <w:rPr>
          <w:lang w:val="fr-BE"/>
        </w:rPr>
        <w:t xml:space="preserve">moyenne </w:t>
      </w:r>
      <w:r w:rsidRPr="00D333A9">
        <w:rPr>
          <w:lang w:val="fr-BE"/>
        </w:rPr>
        <w:t xml:space="preserve">habituelle </w:t>
      </w:r>
      <w:r w:rsidR="000E5F56" w:rsidRPr="00D333A9">
        <w:rPr>
          <w:lang w:val="fr-BE"/>
        </w:rPr>
        <w:t xml:space="preserve">dans la population </w:t>
      </w:r>
      <w:r w:rsidRPr="00D333A9">
        <w:rPr>
          <w:lang w:val="fr-BE"/>
        </w:rPr>
        <w:t>de boissons alcoolisées chez les 14-64 ans est de 155 grammes de boissons alcoolisées par jour. La consommation habituelle de boissons alcoolisées est plus élevée chez les hommes et augmente avec l’âge. La bière est consommée en plus grande quantité (94 g par jour) que le vin (47 g par jour). Les hommes boivent de plus grandes quantités de bière que les femmes, mais consomment une quantité égale de vin. En Flandre, on consomme deux fois plus de bière par jour (113 g par jour) qu’en Wallonie (53 g par jour). Au fur et à mesure que le niveau d’éducation augmente, la consommation de vin augmente.</w:t>
      </w:r>
    </w:p>
    <w:p w:rsidR="00D70458" w:rsidRPr="00D333A9" w:rsidRDefault="00D70458" w:rsidP="00BB6414">
      <w:pPr>
        <w:ind w:right="2"/>
        <w:rPr>
          <w:rFonts w:cs="Arial"/>
          <w:lang w:val="fr-BE"/>
        </w:rPr>
      </w:pPr>
    </w:p>
    <w:p w:rsidR="00495693" w:rsidRPr="00D333A9" w:rsidRDefault="00495693" w:rsidP="00495693">
      <w:pPr>
        <w:rPr>
          <w:rFonts w:cs="Arial"/>
          <w:lang w:val="fr-BE"/>
        </w:rPr>
      </w:pPr>
      <w:r w:rsidRPr="00D333A9">
        <w:rPr>
          <w:rFonts w:cs="Arial"/>
          <w:lang w:val="fr-BE"/>
        </w:rPr>
        <w:t xml:space="preserve">La </w:t>
      </w:r>
      <w:proofErr w:type="spellStart"/>
      <w:r w:rsidRPr="00D333A9">
        <w:rPr>
          <w:rFonts w:cs="Arial"/>
          <w:i/>
          <w:lang w:val="fr-BE"/>
        </w:rPr>
        <w:t>facts</w:t>
      </w:r>
      <w:r w:rsidR="00D70458" w:rsidRPr="00D333A9">
        <w:rPr>
          <w:rFonts w:cs="Arial"/>
          <w:i/>
          <w:lang w:val="fr-BE"/>
        </w:rPr>
        <w:t>heet</w:t>
      </w:r>
      <w:proofErr w:type="spellEnd"/>
      <w:r w:rsidR="00D70458" w:rsidRPr="00D333A9">
        <w:rPr>
          <w:rFonts w:cs="Arial"/>
          <w:lang w:val="fr-BE"/>
        </w:rPr>
        <w:t xml:space="preserve"> de la VAD (</w:t>
      </w:r>
      <w:r w:rsidR="002E4B21" w:rsidRPr="00D333A9">
        <w:rPr>
          <w:rFonts w:cs="Arial"/>
          <w:lang w:val="fr-BE"/>
        </w:rPr>
        <w:t xml:space="preserve">Möbius &amp; De </w:t>
      </w:r>
      <w:proofErr w:type="spellStart"/>
      <w:r w:rsidR="002E4B21" w:rsidRPr="00D333A9">
        <w:rPr>
          <w:rFonts w:cs="Arial"/>
          <w:lang w:val="fr-BE"/>
        </w:rPr>
        <w:t>Donder</w:t>
      </w:r>
      <w:proofErr w:type="spellEnd"/>
      <w:r w:rsidR="002E4B21" w:rsidRPr="00D333A9">
        <w:rPr>
          <w:rFonts w:cs="Arial"/>
          <w:lang w:val="fr-BE"/>
        </w:rPr>
        <w:t>, 2017</w:t>
      </w:r>
      <w:r w:rsidR="00D70458" w:rsidRPr="00D333A9">
        <w:rPr>
          <w:rFonts w:cs="Arial"/>
          <w:lang w:val="fr-BE"/>
        </w:rPr>
        <w:t xml:space="preserve">) indique </w:t>
      </w:r>
      <w:r w:rsidRPr="00D333A9">
        <w:rPr>
          <w:rFonts w:cs="Arial"/>
          <w:lang w:val="fr-BE"/>
        </w:rPr>
        <w:t>que la consommation reste constante sur les dix dernières années. La consommation problématique augmente quant à elle ces dernières années, et le nombre d’hospitalisation pour un trouble lié à l’alcool a augmenté de 13</w:t>
      </w:r>
      <w:r w:rsidR="001261B7">
        <w:rPr>
          <w:rFonts w:cs="Arial"/>
          <w:lang w:val="fr-BE"/>
        </w:rPr>
        <w:t xml:space="preserve"> </w:t>
      </w:r>
      <w:r w:rsidRPr="00D333A9">
        <w:rPr>
          <w:rFonts w:cs="Arial"/>
          <w:lang w:val="fr-BE"/>
        </w:rPr>
        <w:t>%. La consommation pouvait être considér</w:t>
      </w:r>
      <w:r w:rsidR="00F77A30">
        <w:rPr>
          <w:rFonts w:cs="Arial"/>
          <w:lang w:val="fr-BE"/>
        </w:rPr>
        <w:t>ée comme problématique pour 500.</w:t>
      </w:r>
      <w:r w:rsidRPr="00D333A9">
        <w:rPr>
          <w:rFonts w:cs="Arial"/>
          <w:lang w:val="fr-BE"/>
        </w:rPr>
        <w:t>000 personnes en Flandre. Par ailleurs, 33</w:t>
      </w:r>
      <w:r w:rsidR="001261B7">
        <w:rPr>
          <w:rFonts w:cs="Arial"/>
          <w:lang w:val="fr-BE"/>
        </w:rPr>
        <w:t xml:space="preserve"> </w:t>
      </w:r>
      <w:r w:rsidRPr="00D333A9">
        <w:rPr>
          <w:rFonts w:cs="Arial"/>
          <w:lang w:val="fr-BE"/>
        </w:rPr>
        <w:t>% des femmes ont bu de l’alcool pendant leur grossesse, et 43</w:t>
      </w:r>
      <w:r w:rsidR="001261B7">
        <w:rPr>
          <w:rFonts w:cs="Arial"/>
          <w:lang w:val="fr-BE"/>
        </w:rPr>
        <w:t xml:space="preserve"> </w:t>
      </w:r>
      <w:r w:rsidRPr="00D333A9">
        <w:rPr>
          <w:rFonts w:cs="Arial"/>
          <w:lang w:val="fr-BE"/>
        </w:rPr>
        <w:t xml:space="preserve">% pendant l’allaitement. </w:t>
      </w:r>
    </w:p>
    <w:p w:rsidR="00421FA4" w:rsidRPr="00D333A9" w:rsidRDefault="00421FA4" w:rsidP="00495693">
      <w:pPr>
        <w:rPr>
          <w:rFonts w:cs="Arial"/>
          <w:lang w:val="fr-BE"/>
        </w:rPr>
      </w:pPr>
    </w:p>
    <w:p w:rsidR="00421FA4" w:rsidRPr="00D333A9" w:rsidRDefault="00421FA4" w:rsidP="00421FA4">
      <w:pPr>
        <w:rPr>
          <w:rFonts w:cs="Arial"/>
          <w:lang w:val="fr-BE"/>
        </w:rPr>
      </w:pPr>
      <w:r w:rsidRPr="00D333A9">
        <w:rPr>
          <w:rFonts w:cs="Arial"/>
          <w:lang w:val="fr-BE"/>
        </w:rPr>
        <w:t>Enfin, les revenus des accises nous permettent aussi de constater que la consommation globale d’alcool en Belgique n’a pas beaucoup évolué ces dernières années</w:t>
      </w:r>
      <w:r w:rsidR="00C259DA" w:rsidRPr="00D333A9">
        <w:rPr>
          <w:rFonts w:cs="Arial"/>
          <w:lang w:val="fr-BE"/>
        </w:rPr>
        <w:t xml:space="preserve"> (données du SPF Finances)</w:t>
      </w:r>
      <w:r w:rsidRPr="00D333A9">
        <w:rPr>
          <w:rFonts w:cs="Arial"/>
          <w:lang w:val="fr-BE"/>
        </w:rPr>
        <w:t xml:space="preserve"> : </w:t>
      </w:r>
    </w:p>
    <w:p w:rsidR="00421FA4" w:rsidRPr="00D333A9" w:rsidRDefault="00421FA4" w:rsidP="00421FA4">
      <w:pPr>
        <w:rPr>
          <w:rFonts w:cs="Arial"/>
          <w:lang w:val="fr-BE"/>
        </w:rPr>
      </w:pPr>
      <w:r w:rsidRPr="00D333A9">
        <w:rPr>
          <w:rFonts w:cs="Arial"/>
          <w:lang w:val="fr-BE"/>
        </w:rPr>
        <w:t xml:space="preserve"> </w:t>
      </w:r>
    </w:p>
    <w:p w:rsidR="00421FA4" w:rsidRPr="00D333A9" w:rsidRDefault="00421FA4" w:rsidP="00421FA4">
      <w:pPr>
        <w:rPr>
          <w:rFonts w:cs="Arial"/>
          <w:lang w:val="fr-BE"/>
        </w:rPr>
      </w:pPr>
      <w:r w:rsidRPr="00D333A9">
        <w:rPr>
          <w:rFonts w:cs="Arial"/>
          <w:lang w:val="fr-BE"/>
        </w:rPr>
        <w:t xml:space="preserve">Table </w:t>
      </w:r>
      <w:r w:rsidR="000F1700" w:rsidRPr="00D333A9">
        <w:rPr>
          <w:rFonts w:cs="Arial"/>
          <w:lang w:val="fr-BE"/>
        </w:rPr>
        <w:t>4</w:t>
      </w:r>
      <w:r w:rsidRPr="00D333A9">
        <w:rPr>
          <w:rFonts w:cs="Arial"/>
          <w:lang w:val="fr-BE"/>
        </w:rPr>
        <w:t> : Nombre moyen de litre d’alcool consommé par habitant de plus de 15 ans</w:t>
      </w: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948"/>
        <w:gridCol w:w="968"/>
        <w:gridCol w:w="968"/>
        <w:gridCol w:w="1292"/>
        <w:gridCol w:w="968"/>
        <w:gridCol w:w="1726"/>
      </w:tblGrid>
      <w:tr w:rsidR="00421FA4" w:rsidRPr="00D333A9" w:rsidTr="009D0F92">
        <w:trPr>
          <w:trHeight w:val="300"/>
        </w:trPr>
        <w:tc>
          <w:tcPr>
            <w:tcW w:w="1068" w:type="dxa"/>
            <w:shd w:val="clear" w:color="auto" w:fill="auto"/>
            <w:noWrap/>
            <w:vAlign w:val="bottom"/>
            <w:hideMark/>
          </w:tcPr>
          <w:p w:rsidR="00421FA4" w:rsidRPr="00D333A9" w:rsidRDefault="003116B8" w:rsidP="00B06A30">
            <w:pPr>
              <w:rPr>
                <w:rFonts w:eastAsia="Times New Roman" w:cs="Arial"/>
                <w:b/>
                <w:bCs/>
              </w:rPr>
            </w:pPr>
            <w:proofErr w:type="spellStart"/>
            <w:r w:rsidRPr="00D333A9">
              <w:rPr>
                <w:rFonts w:eastAsia="Times New Roman" w:cs="Arial"/>
                <w:b/>
                <w:bCs/>
              </w:rPr>
              <w:t>Année</w:t>
            </w:r>
            <w:proofErr w:type="spellEnd"/>
          </w:p>
        </w:tc>
        <w:tc>
          <w:tcPr>
            <w:tcW w:w="948" w:type="dxa"/>
            <w:shd w:val="clear" w:color="auto" w:fill="auto"/>
            <w:noWrap/>
            <w:vAlign w:val="bottom"/>
            <w:hideMark/>
          </w:tcPr>
          <w:p w:rsidR="00421FA4" w:rsidRPr="00D333A9" w:rsidRDefault="003116B8" w:rsidP="003116B8">
            <w:pPr>
              <w:rPr>
                <w:rFonts w:eastAsia="Times New Roman" w:cs="Arial"/>
                <w:b/>
                <w:bCs/>
              </w:rPr>
            </w:pPr>
            <w:proofErr w:type="spellStart"/>
            <w:r w:rsidRPr="00D333A9">
              <w:rPr>
                <w:rFonts w:eastAsia="Times New Roman" w:cs="Arial"/>
                <w:b/>
                <w:bCs/>
              </w:rPr>
              <w:t>Alcool</w:t>
            </w:r>
            <w:proofErr w:type="spellEnd"/>
          </w:p>
        </w:tc>
        <w:tc>
          <w:tcPr>
            <w:tcW w:w="968" w:type="dxa"/>
            <w:shd w:val="clear" w:color="auto" w:fill="auto"/>
            <w:noWrap/>
            <w:vAlign w:val="bottom"/>
            <w:hideMark/>
          </w:tcPr>
          <w:p w:rsidR="00421FA4" w:rsidRPr="00D333A9" w:rsidRDefault="003116B8" w:rsidP="00B06A30">
            <w:pPr>
              <w:rPr>
                <w:rFonts w:eastAsia="Times New Roman" w:cs="Arial"/>
                <w:b/>
                <w:bCs/>
              </w:rPr>
            </w:pPr>
            <w:proofErr w:type="spellStart"/>
            <w:r w:rsidRPr="00D333A9">
              <w:rPr>
                <w:rFonts w:eastAsia="Times New Roman" w:cs="Arial"/>
                <w:b/>
                <w:bCs/>
              </w:rPr>
              <w:t>Bière</w:t>
            </w:r>
            <w:proofErr w:type="spellEnd"/>
          </w:p>
        </w:tc>
        <w:tc>
          <w:tcPr>
            <w:tcW w:w="968" w:type="dxa"/>
            <w:shd w:val="clear" w:color="auto" w:fill="auto"/>
            <w:noWrap/>
            <w:vAlign w:val="bottom"/>
            <w:hideMark/>
          </w:tcPr>
          <w:p w:rsidR="00421FA4" w:rsidRPr="00D333A9" w:rsidRDefault="003116B8" w:rsidP="00B06A30">
            <w:pPr>
              <w:rPr>
                <w:rFonts w:eastAsia="Times New Roman" w:cs="Arial"/>
                <w:b/>
                <w:bCs/>
              </w:rPr>
            </w:pPr>
            <w:r w:rsidRPr="00D333A9">
              <w:rPr>
                <w:rFonts w:eastAsia="Times New Roman" w:cs="Arial"/>
                <w:b/>
                <w:bCs/>
              </w:rPr>
              <w:t>Vin</w:t>
            </w:r>
          </w:p>
        </w:tc>
        <w:tc>
          <w:tcPr>
            <w:tcW w:w="1292" w:type="dxa"/>
            <w:shd w:val="clear" w:color="auto" w:fill="auto"/>
            <w:noWrap/>
            <w:vAlign w:val="bottom"/>
            <w:hideMark/>
          </w:tcPr>
          <w:p w:rsidR="00421FA4" w:rsidRPr="00D333A9" w:rsidRDefault="003116B8" w:rsidP="00B06A30">
            <w:pPr>
              <w:rPr>
                <w:rFonts w:eastAsia="Times New Roman" w:cs="Arial"/>
                <w:b/>
                <w:bCs/>
              </w:rPr>
            </w:pPr>
            <w:proofErr w:type="spellStart"/>
            <w:r w:rsidRPr="00D333A9">
              <w:rPr>
                <w:rFonts w:eastAsia="Times New Roman" w:cs="Arial"/>
                <w:b/>
                <w:bCs/>
              </w:rPr>
              <w:t>Mousseux</w:t>
            </w:r>
            <w:proofErr w:type="spellEnd"/>
          </w:p>
        </w:tc>
        <w:tc>
          <w:tcPr>
            <w:tcW w:w="968" w:type="dxa"/>
            <w:shd w:val="clear" w:color="auto" w:fill="auto"/>
            <w:noWrap/>
            <w:vAlign w:val="bottom"/>
            <w:hideMark/>
          </w:tcPr>
          <w:p w:rsidR="00421FA4" w:rsidRPr="00D333A9" w:rsidRDefault="003116B8" w:rsidP="00B06A30">
            <w:pPr>
              <w:rPr>
                <w:rFonts w:eastAsia="Times New Roman" w:cs="Arial"/>
                <w:b/>
                <w:bCs/>
              </w:rPr>
            </w:pPr>
            <w:proofErr w:type="spellStart"/>
            <w:r w:rsidRPr="00D333A9">
              <w:rPr>
                <w:rFonts w:eastAsia="Times New Roman" w:cs="Arial"/>
                <w:b/>
                <w:bCs/>
              </w:rPr>
              <w:t>Autres</w:t>
            </w:r>
            <w:proofErr w:type="spellEnd"/>
          </w:p>
        </w:tc>
        <w:tc>
          <w:tcPr>
            <w:tcW w:w="1726" w:type="dxa"/>
            <w:shd w:val="clear" w:color="auto" w:fill="auto"/>
            <w:noWrap/>
            <w:vAlign w:val="bottom"/>
            <w:hideMark/>
          </w:tcPr>
          <w:p w:rsidR="00421FA4" w:rsidRPr="00D333A9" w:rsidRDefault="003116B8" w:rsidP="00B06A30">
            <w:pPr>
              <w:rPr>
                <w:rFonts w:eastAsia="Times New Roman" w:cs="Arial"/>
                <w:b/>
                <w:bCs/>
              </w:rPr>
            </w:pPr>
            <w:r w:rsidRPr="00D333A9">
              <w:rPr>
                <w:rFonts w:eastAsia="Times New Roman" w:cs="Arial"/>
                <w:b/>
                <w:bCs/>
              </w:rPr>
              <w:t>T</w:t>
            </w:r>
            <w:r w:rsidR="00421FA4" w:rsidRPr="00D333A9">
              <w:rPr>
                <w:rFonts w:eastAsia="Times New Roman" w:cs="Arial"/>
                <w:b/>
                <w:bCs/>
              </w:rPr>
              <w:t xml:space="preserve">otal </w:t>
            </w:r>
          </w:p>
        </w:tc>
      </w:tr>
      <w:tr w:rsidR="00421FA4" w:rsidRPr="00D333A9" w:rsidTr="009D0F92">
        <w:trPr>
          <w:trHeight w:val="300"/>
        </w:trPr>
        <w:tc>
          <w:tcPr>
            <w:tcW w:w="1068" w:type="dxa"/>
            <w:shd w:val="clear" w:color="auto" w:fill="auto"/>
            <w:noWrap/>
            <w:vAlign w:val="bottom"/>
            <w:hideMark/>
          </w:tcPr>
          <w:p w:rsidR="00421FA4" w:rsidRPr="00D333A9" w:rsidRDefault="00421FA4" w:rsidP="00B06A30">
            <w:pPr>
              <w:rPr>
                <w:rFonts w:eastAsia="Times New Roman" w:cs="Arial"/>
                <w:bCs/>
              </w:rPr>
            </w:pPr>
            <w:r w:rsidRPr="00D333A9">
              <w:rPr>
                <w:rFonts w:eastAsia="Times New Roman" w:cs="Arial"/>
                <w:bCs/>
              </w:rPr>
              <w:t>2013</w:t>
            </w:r>
          </w:p>
        </w:tc>
        <w:tc>
          <w:tcPr>
            <w:tcW w:w="948" w:type="dxa"/>
            <w:shd w:val="clear" w:color="auto" w:fill="auto"/>
            <w:noWrap/>
            <w:vAlign w:val="bottom"/>
            <w:hideMark/>
          </w:tcPr>
          <w:p w:rsidR="00421FA4" w:rsidRPr="00D333A9" w:rsidRDefault="00421FA4" w:rsidP="00B06A30">
            <w:pPr>
              <w:rPr>
                <w:rFonts w:eastAsia="Times New Roman" w:cs="Arial"/>
              </w:rPr>
            </w:pPr>
            <w:r w:rsidRPr="00D333A9">
              <w:rPr>
                <w:rFonts w:eastAsia="Times New Roman" w:cs="Arial"/>
              </w:rPr>
              <w:t>1,42</w:t>
            </w:r>
          </w:p>
        </w:tc>
        <w:tc>
          <w:tcPr>
            <w:tcW w:w="968" w:type="dxa"/>
            <w:shd w:val="clear" w:color="auto" w:fill="auto"/>
            <w:noWrap/>
            <w:vAlign w:val="bottom"/>
            <w:hideMark/>
          </w:tcPr>
          <w:p w:rsidR="00421FA4" w:rsidRPr="00D333A9" w:rsidRDefault="00421FA4" w:rsidP="00B06A30">
            <w:pPr>
              <w:rPr>
                <w:rFonts w:eastAsia="Times New Roman" w:cs="Arial"/>
              </w:rPr>
            </w:pPr>
            <w:r w:rsidRPr="00D333A9">
              <w:rPr>
                <w:rFonts w:eastAsia="Times New Roman" w:cs="Arial"/>
              </w:rPr>
              <w:t>4,60</w:t>
            </w:r>
          </w:p>
        </w:tc>
        <w:tc>
          <w:tcPr>
            <w:tcW w:w="968" w:type="dxa"/>
            <w:shd w:val="clear" w:color="auto" w:fill="auto"/>
            <w:noWrap/>
            <w:vAlign w:val="bottom"/>
            <w:hideMark/>
          </w:tcPr>
          <w:p w:rsidR="00421FA4" w:rsidRPr="00D333A9" w:rsidRDefault="00421FA4" w:rsidP="00B06A30">
            <w:pPr>
              <w:rPr>
                <w:rFonts w:eastAsia="Times New Roman" w:cs="Arial"/>
              </w:rPr>
            </w:pPr>
            <w:r w:rsidRPr="00D333A9">
              <w:rPr>
                <w:rFonts w:eastAsia="Times New Roman" w:cs="Arial"/>
              </w:rPr>
              <w:t>3,08</w:t>
            </w:r>
          </w:p>
        </w:tc>
        <w:tc>
          <w:tcPr>
            <w:tcW w:w="1292" w:type="dxa"/>
            <w:shd w:val="clear" w:color="auto" w:fill="auto"/>
            <w:noWrap/>
            <w:vAlign w:val="bottom"/>
            <w:hideMark/>
          </w:tcPr>
          <w:p w:rsidR="00421FA4" w:rsidRPr="00D333A9" w:rsidRDefault="00421FA4" w:rsidP="00B06A30">
            <w:pPr>
              <w:rPr>
                <w:rFonts w:eastAsia="Times New Roman" w:cs="Arial"/>
              </w:rPr>
            </w:pPr>
            <w:r w:rsidRPr="00D333A9">
              <w:rPr>
                <w:rFonts w:eastAsia="Times New Roman" w:cs="Arial"/>
              </w:rPr>
              <w:t>0,79</w:t>
            </w:r>
          </w:p>
        </w:tc>
        <w:tc>
          <w:tcPr>
            <w:tcW w:w="968" w:type="dxa"/>
            <w:shd w:val="clear" w:color="auto" w:fill="auto"/>
            <w:noWrap/>
            <w:vAlign w:val="bottom"/>
            <w:hideMark/>
          </w:tcPr>
          <w:p w:rsidR="00421FA4" w:rsidRPr="00D333A9" w:rsidRDefault="00421FA4" w:rsidP="00B06A30">
            <w:pPr>
              <w:rPr>
                <w:rFonts w:eastAsia="Times New Roman" w:cs="Arial"/>
              </w:rPr>
            </w:pPr>
            <w:r w:rsidRPr="00D333A9">
              <w:rPr>
                <w:rFonts w:eastAsia="Times New Roman" w:cs="Arial"/>
              </w:rPr>
              <w:t>0,44</w:t>
            </w:r>
          </w:p>
        </w:tc>
        <w:tc>
          <w:tcPr>
            <w:tcW w:w="1726" w:type="dxa"/>
            <w:shd w:val="clear" w:color="auto" w:fill="auto"/>
            <w:noWrap/>
            <w:vAlign w:val="bottom"/>
            <w:hideMark/>
          </w:tcPr>
          <w:p w:rsidR="00421FA4" w:rsidRPr="00D333A9" w:rsidRDefault="00421FA4" w:rsidP="00B06A30">
            <w:pPr>
              <w:rPr>
                <w:rFonts w:eastAsia="Times New Roman" w:cs="Arial"/>
                <w:bCs/>
              </w:rPr>
            </w:pPr>
            <w:r w:rsidRPr="00D333A9">
              <w:rPr>
                <w:rFonts w:eastAsia="Times New Roman" w:cs="Arial"/>
                <w:bCs/>
              </w:rPr>
              <w:t>10,33</w:t>
            </w:r>
          </w:p>
        </w:tc>
      </w:tr>
      <w:tr w:rsidR="00421FA4" w:rsidRPr="00D333A9" w:rsidTr="009D0F92">
        <w:trPr>
          <w:trHeight w:val="300"/>
        </w:trPr>
        <w:tc>
          <w:tcPr>
            <w:tcW w:w="1068" w:type="dxa"/>
            <w:shd w:val="clear" w:color="auto" w:fill="auto"/>
            <w:noWrap/>
            <w:vAlign w:val="bottom"/>
            <w:hideMark/>
          </w:tcPr>
          <w:p w:rsidR="00421FA4" w:rsidRPr="00D333A9" w:rsidRDefault="00421FA4" w:rsidP="00B06A30">
            <w:pPr>
              <w:rPr>
                <w:rFonts w:eastAsia="Times New Roman" w:cs="Arial"/>
                <w:bCs/>
              </w:rPr>
            </w:pPr>
            <w:r w:rsidRPr="00D333A9">
              <w:rPr>
                <w:rFonts w:eastAsia="Times New Roman" w:cs="Arial"/>
                <w:bCs/>
              </w:rPr>
              <w:t>2014</w:t>
            </w:r>
          </w:p>
        </w:tc>
        <w:tc>
          <w:tcPr>
            <w:tcW w:w="948" w:type="dxa"/>
            <w:shd w:val="clear" w:color="auto" w:fill="auto"/>
            <w:noWrap/>
            <w:vAlign w:val="bottom"/>
            <w:hideMark/>
          </w:tcPr>
          <w:p w:rsidR="00421FA4" w:rsidRPr="00D333A9" w:rsidRDefault="00421FA4" w:rsidP="00B06A30">
            <w:pPr>
              <w:rPr>
                <w:rFonts w:eastAsia="Times New Roman" w:cs="Arial"/>
              </w:rPr>
            </w:pPr>
            <w:r w:rsidRPr="00D333A9">
              <w:rPr>
                <w:rFonts w:eastAsia="Times New Roman" w:cs="Arial"/>
              </w:rPr>
              <w:t>1,47</w:t>
            </w:r>
          </w:p>
        </w:tc>
        <w:tc>
          <w:tcPr>
            <w:tcW w:w="968" w:type="dxa"/>
            <w:shd w:val="clear" w:color="auto" w:fill="auto"/>
            <w:noWrap/>
            <w:vAlign w:val="bottom"/>
            <w:hideMark/>
          </w:tcPr>
          <w:p w:rsidR="00421FA4" w:rsidRPr="00D333A9" w:rsidRDefault="00421FA4" w:rsidP="00B06A30">
            <w:pPr>
              <w:rPr>
                <w:rFonts w:eastAsia="Times New Roman" w:cs="Arial"/>
              </w:rPr>
            </w:pPr>
            <w:r w:rsidRPr="00D333A9">
              <w:rPr>
                <w:rFonts w:eastAsia="Times New Roman" w:cs="Arial"/>
              </w:rPr>
              <w:t>4,72</w:t>
            </w:r>
          </w:p>
        </w:tc>
        <w:tc>
          <w:tcPr>
            <w:tcW w:w="968" w:type="dxa"/>
            <w:shd w:val="clear" w:color="auto" w:fill="auto"/>
            <w:noWrap/>
            <w:vAlign w:val="bottom"/>
            <w:hideMark/>
          </w:tcPr>
          <w:p w:rsidR="00421FA4" w:rsidRPr="00D333A9" w:rsidRDefault="00421FA4" w:rsidP="00B06A30">
            <w:pPr>
              <w:rPr>
                <w:rFonts w:eastAsia="Times New Roman" w:cs="Arial"/>
              </w:rPr>
            </w:pPr>
            <w:r w:rsidRPr="00D333A9">
              <w:rPr>
                <w:rFonts w:eastAsia="Times New Roman" w:cs="Arial"/>
              </w:rPr>
              <w:t>3,13</w:t>
            </w:r>
          </w:p>
        </w:tc>
        <w:tc>
          <w:tcPr>
            <w:tcW w:w="1292" w:type="dxa"/>
            <w:shd w:val="clear" w:color="auto" w:fill="auto"/>
            <w:noWrap/>
            <w:vAlign w:val="bottom"/>
            <w:hideMark/>
          </w:tcPr>
          <w:p w:rsidR="00421FA4" w:rsidRPr="00D333A9" w:rsidRDefault="00421FA4" w:rsidP="00B06A30">
            <w:pPr>
              <w:rPr>
                <w:rFonts w:eastAsia="Times New Roman" w:cs="Arial"/>
              </w:rPr>
            </w:pPr>
            <w:r w:rsidRPr="00D333A9">
              <w:rPr>
                <w:rFonts w:eastAsia="Times New Roman" w:cs="Arial"/>
              </w:rPr>
              <w:t>0,84</w:t>
            </w:r>
          </w:p>
        </w:tc>
        <w:tc>
          <w:tcPr>
            <w:tcW w:w="968" w:type="dxa"/>
            <w:shd w:val="clear" w:color="auto" w:fill="auto"/>
            <w:noWrap/>
            <w:vAlign w:val="bottom"/>
            <w:hideMark/>
          </w:tcPr>
          <w:p w:rsidR="00421FA4" w:rsidRPr="00D333A9" w:rsidRDefault="00421FA4" w:rsidP="00B06A30">
            <w:pPr>
              <w:rPr>
                <w:rFonts w:eastAsia="Times New Roman" w:cs="Arial"/>
              </w:rPr>
            </w:pPr>
            <w:r w:rsidRPr="00D333A9">
              <w:rPr>
                <w:rFonts w:eastAsia="Times New Roman" w:cs="Arial"/>
              </w:rPr>
              <w:t>0,41</w:t>
            </w:r>
          </w:p>
        </w:tc>
        <w:tc>
          <w:tcPr>
            <w:tcW w:w="1726" w:type="dxa"/>
            <w:shd w:val="clear" w:color="auto" w:fill="auto"/>
            <w:noWrap/>
            <w:vAlign w:val="bottom"/>
            <w:hideMark/>
          </w:tcPr>
          <w:p w:rsidR="00421FA4" w:rsidRPr="00D333A9" w:rsidRDefault="00421FA4" w:rsidP="00B06A30">
            <w:pPr>
              <w:rPr>
                <w:rFonts w:eastAsia="Times New Roman" w:cs="Arial"/>
                <w:bCs/>
              </w:rPr>
            </w:pPr>
            <w:r w:rsidRPr="00D333A9">
              <w:rPr>
                <w:rFonts w:eastAsia="Times New Roman" w:cs="Arial"/>
                <w:bCs/>
              </w:rPr>
              <w:t>10,57</w:t>
            </w:r>
          </w:p>
        </w:tc>
      </w:tr>
      <w:tr w:rsidR="00421FA4" w:rsidRPr="00D333A9" w:rsidTr="009D0F92">
        <w:trPr>
          <w:trHeight w:val="300"/>
        </w:trPr>
        <w:tc>
          <w:tcPr>
            <w:tcW w:w="1068" w:type="dxa"/>
            <w:shd w:val="clear" w:color="auto" w:fill="auto"/>
            <w:noWrap/>
            <w:vAlign w:val="bottom"/>
            <w:hideMark/>
          </w:tcPr>
          <w:p w:rsidR="00421FA4" w:rsidRPr="00D333A9" w:rsidRDefault="00421FA4" w:rsidP="00B06A30">
            <w:pPr>
              <w:rPr>
                <w:rFonts w:eastAsia="Times New Roman" w:cs="Arial"/>
                <w:bCs/>
              </w:rPr>
            </w:pPr>
            <w:r w:rsidRPr="00D333A9">
              <w:rPr>
                <w:rFonts w:eastAsia="Times New Roman" w:cs="Arial"/>
                <w:bCs/>
              </w:rPr>
              <w:t>2015</w:t>
            </w:r>
          </w:p>
        </w:tc>
        <w:tc>
          <w:tcPr>
            <w:tcW w:w="948" w:type="dxa"/>
            <w:shd w:val="clear" w:color="auto" w:fill="auto"/>
            <w:noWrap/>
            <w:vAlign w:val="bottom"/>
            <w:hideMark/>
          </w:tcPr>
          <w:p w:rsidR="00421FA4" w:rsidRPr="00D333A9" w:rsidRDefault="00421FA4" w:rsidP="00B06A30">
            <w:pPr>
              <w:rPr>
                <w:rFonts w:eastAsia="Times New Roman" w:cs="Arial"/>
              </w:rPr>
            </w:pPr>
            <w:r w:rsidRPr="00D333A9">
              <w:rPr>
                <w:rFonts w:eastAsia="Times New Roman" w:cs="Arial"/>
              </w:rPr>
              <w:t>1,47</w:t>
            </w:r>
          </w:p>
        </w:tc>
        <w:tc>
          <w:tcPr>
            <w:tcW w:w="968" w:type="dxa"/>
            <w:shd w:val="clear" w:color="auto" w:fill="auto"/>
            <w:noWrap/>
            <w:vAlign w:val="bottom"/>
            <w:hideMark/>
          </w:tcPr>
          <w:p w:rsidR="00421FA4" w:rsidRPr="00D333A9" w:rsidRDefault="00421FA4" w:rsidP="00B06A30">
            <w:pPr>
              <w:rPr>
                <w:rFonts w:eastAsia="Times New Roman" w:cs="Arial"/>
              </w:rPr>
            </w:pPr>
            <w:r w:rsidRPr="00D333A9">
              <w:rPr>
                <w:rFonts w:eastAsia="Times New Roman" w:cs="Arial"/>
              </w:rPr>
              <w:t>4,60</w:t>
            </w:r>
          </w:p>
        </w:tc>
        <w:tc>
          <w:tcPr>
            <w:tcW w:w="968" w:type="dxa"/>
            <w:shd w:val="clear" w:color="auto" w:fill="auto"/>
            <w:noWrap/>
            <w:vAlign w:val="bottom"/>
            <w:hideMark/>
          </w:tcPr>
          <w:p w:rsidR="00421FA4" w:rsidRPr="00D333A9" w:rsidRDefault="00421FA4" w:rsidP="00B06A30">
            <w:pPr>
              <w:rPr>
                <w:rFonts w:eastAsia="Times New Roman" w:cs="Arial"/>
              </w:rPr>
            </w:pPr>
            <w:r w:rsidRPr="00D333A9">
              <w:rPr>
                <w:rFonts w:eastAsia="Times New Roman" w:cs="Arial"/>
              </w:rPr>
              <w:t>3,13</w:t>
            </w:r>
          </w:p>
        </w:tc>
        <w:tc>
          <w:tcPr>
            <w:tcW w:w="1292" w:type="dxa"/>
            <w:shd w:val="clear" w:color="auto" w:fill="auto"/>
            <w:noWrap/>
            <w:vAlign w:val="bottom"/>
            <w:hideMark/>
          </w:tcPr>
          <w:p w:rsidR="00421FA4" w:rsidRPr="00D333A9" w:rsidRDefault="00421FA4" w:rsidP="00B06A30">
            <w:pPr>
              <w:rPr>
                <w:rFonts w:eastAsia="Times New Roman" w:cs="Arial"/>
              </w:rPr>
            </w:pPr>
            <w:r w:rsidRPr="00D333A9">
              <w:rPr>
                <w:rFonts w:eastAsia="Times New Roman" w:cs="Arial"/>
              </w:rPr>
              <w:t>0,84</w:t>
            </w:r>
          </w:p>
        </w:tc>
        <w:tc>
          <w:tcPr>
            <w:tcW w:w="968" w:type="dxa"/>
            <w:shd w:val="clear" w:color="auto" w:fill="auto"/>
            <w:noWrap/>
            <w:vAlign w:val="bottom"/>
            <w:hideMark/>
          </w:tcPr>
          <w:p w:rsidR="00421FA4" w:rsidRPr="00D333A9" w:rsidRDefault="00421FA4" w:rsidP="00B06A30">
            <w:pPr>
              <w:rPr>
                <w:rFonts w:eastAsia="Times New Roman" w:cs="Arial"/>
              </w:rPr>
            </w:pPr>
            <w:r w:rsidRPr="00D333A9">
              <w:rPr>
                <w:rFonts w:eastAsia="Times New Roman" w:cs="Arial"/>
              </w:rPr>
              <w:t>0,32</w:t>
            </w:r>
          </w:p>
        </w:tc>
        <w:tc>
          <w:tcPr>
            <w:tcW w:w="1726" w:type="dxa"/>
            <w:shd w:val="clear" w:color="auto" w:fill="auto"/>
            <w:noWrap/>
            <w:vAlign w:val="bottom"/>
            <w:hideMark/>
          </w:tcPr>
          <w:p w:rsidR="00421FA4" w:rsidRPr="00D333A9" w:rsidRDefault="00421FA4" w:rsidP="00B06A30">
            <w:pPr>
              <w:rPr>
                <w:rFonts w:eastAsia="Times New Roman" w:cs="Arial"/>
                <w:bCs/>
              </w:rPr>
            </w:pPr>
            <w:r w:rsidRPr="00D333A9">
              <w:rPr>
                <w:rFonts w:eastAsia="Times New Roman" w:cs="Arial"/>
                <w:bCs/>
              </w:rPr>
              <w:t>10,36</w:t>
            </w:r>
          </w:p>
        </w:tc>
      </w:tr>
    </w:tbl>
    <w:p w:rsidR="00F97649" w:rsidRDefault="00F97649">
      <w:pPr>
        <w:spacing w:after="200" w:line="276" w:lineRule="auto"/>
        <w:jc w:val="left"/>
        <w:rPr>
          <w:rFonts w:cs="Arial"/>
          <w:lang w:val="fr-BE"/>
        </w:rPr>
      </w:pPr>
    </w:p>
    <w:p w:rsidR="009B295D" w:rsidRDefault="009B295D">
      <w:pPr>
        <w:spacing w:after="200" w:line="276" w:lineRule="auto"/>
        <w:jc w:val="left"/>
        <w:rPr>
          <w:rFonts w:cs="Arial"/>
          <w:lang w:val="fr-BE"/>
        </w:rPr>
      </w:pPr>
    </w:p>
    <w:p w:rsidR="009B295D" w:rsidRDefault="009B295D">
      <w:pPr>
        <w:spacing w:after="200" w:line="276" w:lineRule="auto"/>
        <w:jc w:val="left"/>
        <w:rPr>
          <w:rFonts w:cs="Arial"/>
          <w:lang w:val="fr-BE"/>
        </w:rPr>
      </w:pPr>
    </w:p>
    <w:p w:rsidR="009B295D" w:rsidRPr="00D333A9" w:rsidRDefault="009B295D">
      <w:pPr>
        <w:spacing w:after="200" w:line="276" w:lineRule="auto"/>
        <w:jc w:val="left"/>
        <w:rPr>
          <w:rFonts w:eastAsiaTheme="majorEastAsia" w:cstheme="majorBidi"/>
          <w:b/>
          <w:bCs/>
          <w:szCs w:val="26"/>
          <w:lang w:val="fr-BE"/>
        </w:rPr>
      </w:pPr>
    </w:p>
    <w:p w:rsidR="00B07709" w:rsidRPr="00D333A9" w:rsidRDefault="0063276E" w:rsidP="00B07709">
      <w:pPr>
        <w:pStyle w:val="Titre2"/>
        <w:rPr>
          <w:lang w:val="fr-BE"/>
        </w:rPr>
      </w:pPr>
      <w:r w:rsidRPr="00D333A9">
        <w:rPr>
          <w:lang w:val="fr-BE"/>
        </w:rPr>
        <w:t>Risques pour la santé de la consommation d’alcool</w:t>
      </w:r>
    </w:p>
    <w:p w:rsidR="0098157D" w:rsidRPr="00D333A9" w:rsidRDefault="0098157D" w:rsidP="0098157D">
      <w:pPr>
        <w:pBdr>
          <w:top w:val="single" w:sz="4" w:space="1" w:color="auto"/>
          <w:left w:val="single" w:sz="4" w:space="20" w:color="auto"/>
          <w:bottom w:val="single" w:sz="4" w:space="1" w:color="auto"/>
          <w:right w:val="single" w:sz="4" w:space="4" w:color="auto"/>
        </w:pBdr>
        <w:ind w:left="360" w:right="2"/>
        <w:rPr>
          <w:b/>
          <w:lang w:val="fr-BE"/>
        </w:rPr>
      </w:pPr>
      <w:r w:rsidRPr="00D333A9">
        <w:rPr>
          <w:b/>
          <w:lang w:val="fr-BE"/>
        </w:rPr>
        <w:t xml:space="preserve">En résumé : </w:t>
      </w:r>
    </w:p>
    <w:p w:rsidR="0098157D" w:rsidRPr="00D333A9" w:rsidRDefault="0098157D" w:rsidP="0098157D">
      <w:pPr>
        <w:pBdr>
          <w:top w:val="single" w:sz="4" w:space="1" w:color="auto"/>
          <w:left w:val="single" w:sz="4" w:space="20" w:color="auto"/>
          <w:bottom w:val="single" w:sz="4" w:space="1" w:color="auto"/>
          <w:right w:val="single" w:sz="4" w:space="4" w:color="auto"/>
        </w:pBdr>
        <w:ind w:left="360" w:right="2"/>
        <w:rPr>
          <w:b/>
          <w:lang w:val="fr-BE"/>
        </w:rPr>
      </w:pPr>
    </w:p>
    <w:p w:rsidR="00746FC7" w:rsidRPr="00D333A9" w:rsidRDefault="00746FC7" w:rsidP="0098157D">
      <w:pPr>
        <w:pStyle w:val="Paragraphedeliste"/>
        <w:numPr>
          <w:ilvl w:val="0"/>
          <w:numId w:val="3"/>
        </w:numPr>
        <w:pBdr>
          <w:top w:val="single" w:sz="4" w:space="1" w:color="auto"/>
          <w:left w:val="single" w:sz="4" w:space="20" w:color="auto"/>
          <w:bottom w:val="single" w:sz="4" w:space="1" w:color="auto"/>
          <w:right w:val="single" w:sz="4" w:space="4" w:color="auto"/>
        </w:pBdr>
        <w:ind w:right="2"/>
        <w:rPr>
          <w:lang w:val="fr-BE"/>
        </w:rPr>
      </w:pPr>
      <w:r w:rsidRPr="00D333A9">
        <w:rPr>
          <w:lang w:val="fr-BE"/>
        </w:rPr>
        <w:t>L’alcool est la 4</w:t>
      </w:r>
      <w:r w:rsidRPr="00D333A9">
        <w:rPr>
          <w:vertAlign w:val="superscript"/>
          <w:lang w:val="fr-BE"/>
        </w:rPr>
        <w:t>ème</w:t>
      </w:r>
      <w:r w:rsidRPr="00D333A9">
        <w:rPr>
          <w:lang w:val="fr-BE"/>
        </w:rPr>
        <w:t xml:space="preserve"> cause de mortalité et de morbidité chez les personnes âgées de 15 ans et plus en Belgique ; </w:t>
      </w:r>
    </w:p>
    <w:p w:rsidR="00746FC7" w:rsidRPr="00D333A9" w:rsidRDefault="000F1700" w:rsidP="0098157D">
      <w:pPr>
        <w:pStyle w:val="Paragraphedeliste"/>
        <w:numPr>
          <w:ilvl w:val="0"/>
          <w:numId w:val="3"/>
        </w:numPr>
        <w:pBdr>
          <w:top w:val="single" w:sz="4" w:space="1" w:color="auto"/>
          <w:left w:val="single" w:sz="4" w:space="20" w:color="auto"/>
          <w:bottom w:val="single" w:sz="4" w:space="1" w:color="auto"/>
          <w:right w:val="single" w:sz="4" w:space="4" w:color="auto"/>
        </w:pBdr>
        <w:ind w:right="2"/>
        <w:rPr>
          <w:lang w:val="fr-BE"/>
        </w:rPr>
      </w:pPr>
      <w:r w:rsidRPr="00D333A9">
        <w:rPr>
          <w:lang w:val="fr-BE"/>
        </w:rPr>
        <w:t>l</w:t>
      </w:r>
      <w:r w:rsidR="00746FC7" w:rsidRPr="00D333A9">
        <w:rPr>
          <w:lang w:val="fr-BE"/>
        </w:rPr>
        <w:t xml:space="preserve">’alcool joue un rôle dans l’apparition ou l’évolution de maladies cardiovasculaires, de maladies vasculaires cérébrales, de différentes formes de cancer, de troubles de la mémoire, d’affections du pancréas et du foie ; </w:t>
      </w:r>
    </w:p>
    <w:p w:rsidR="00746FC7" w:rsidRPr="00D333A9" w:rsidRDefault="000F1700" w:rsidP="0098157D">
      <w:pPr>
        <w:pStyle w:val="Paragraphedeliste"/>
        <w:numPr>
          <w:ilvl w:val="0"/>
          <w:numId w:val="3"/>
        </w:numPr>
        <w:pBdr>
          <w:top w:val="single" w:sz="4" w:space="1" w:color="auto"/>
          <w:left w:val="single" w:sz="4" w:space="20" w:color="auto"/>
          <w:bottom w:val="single" w:sz="4" w:space="1" w:color="auto"/>
          <w:right w:val="single" w:sz="4" w:space="4" w:color="auto"/>
        </w:pBdr>
        <w:ind w:right="2"/>
        <w:rPr>
          <w:lang w:val="fr-BE"/>
        </w:rPr>
      </w:pPr>
      <w:r w:rsidRPr="00D333A9">
        <w:rPr>
          <w:lang w:val="fr-BE"/>
        </w:rPr>
        <w:t>l</w:t>
      </w:r>
      <w:r w:rsidR="00746FC7" w:rsidRPr="00D333A9">
        <w:rPr>
          <w:lang w:val="fr-BE"/>
        </w:rPr>
        <w:t>’</w:t>
      </w:r>
      <w:proofErr w:type="spellStart"/>
      <w:r w:rsidR="00746FC7" w:rsidRPr="00D333A9">
        <w:rPr>
          <w:lang w:val="fr-BE"/>
        </w:rPr>
        <w:t>hyperalcoolisation</w:t>
      </w:r>
      <w:proofErr w:type="spellEnd"/>
      <w:r w:rsidR="00746FC7" w:rsidRPr="00D333A9">
        <w:rPr>
          <w:lang w:val="fr-BE"/>
        </w:rPr>
        <w:t xml:space="preserve"> (</w:t>
      </w:r>
      <w:proofErr w:type="spellStart"/>
      <w:r w:rsidR="00746FC7" w:rsidRPr="00D333A9">
        <w:rPr>
          <w:i/>
          <w:lang w:val="fr-BE"/>
        </w:rPr>
        <w:t>binge</w:t>
      </w:r>
      <w:proofErr w:type="spellEnd"/>
      <w:r w:rsidR="00746FC7" w:rsidRPr="00D333A9">
        <w:rPr>
          <w:i/>
          <w:lang w:val="fr-BE"/>
        </w:rPr>
        <w:t xml:space="preserve"> </w:t>
      </w:r>
      <w:proofErr w:type="spellStart"/>
      <w:r w:rsidR="00746FC7" w:rsidRPr="00D333A9">
        <w:rPr>
          <w:i/>
          <w:lang w:val="fr-BE"/>
        </w:rPr>
        <w:t>drinking</w:t>
      </w:r>
      <w:proofErr w:type="spellEnd"/>
      <w:r w:rsidR="00746FC7" w:rsidRPr="00D333A9">
        <w:rPr>
          <w:lang w:val="fr-BE"/>
        </w:rPr>
        <w:t xml:space="preserve">) </w:t>
      </w:r>
      <w:r w:rsidR="00CB4C44" w:rsidRPr="00D333A9">
        <w:rPr>
          <w:lang w:val="fr-BE"/>
        </w:rPr>
        <w:t>peut avoir</w:t>
      </w:r>
      <w:r w:rsidR="00746FC7" w:rsidRPr="00D333A9">
        <w:rPr>
          <w:lang w:val="fr-BE"/>
        </w:rPr>
        <w:t xml:space="preserve"> des effets durables sur le cerveau ;</w:t>
      </w:r>
    </w:p>
    <w:p w:rsidR="00746FC7" w:rsidRPr="00D333A9" w:rsidRDefault="000F1700" w:rsidP="0098157D">
      <w:pPr>
        <w:pStyle w:val="Paragraphedeliste"/>
        <w:numPr>
          <w:ilvl w:val="0"/>
          <w:numId w:val="3"/>
        </w:numPr>
        <w:pBdr>
          <w:top w:val="single" w:sz="4" w:space="1" w:color="auto"/>
          <w:left w:val="single" w:sz="4" w:space="20" w:color="auto"/>
          <w:bottom w:val="single" w:sz="4" w:space="1" w:color="auto"/>
          <w:right w:val="single" w:sz="4" w:space="4" w:color="auto"/>
        </w:pBdr>
        <w:ind w:right="2"/>
        <w:rPr>
          <w:lang w:val="fr-BE"/>
        </w:rPr>
      </w:pPr>
      <w:r w:rsidRPr="00D333A9">
        <w:rPr>
          <w:lang w:val="fr-BE"/>
        </w:rPr>
        <w:t>l</w:t>
      </w:r>
      <w:r w:rsidR="00746FC7" w:rsidRPr="00D333A9">
        <w:rPr>
          <w:lang w:val="fr-BE"/>
        </w:rPr>
        <w:t>’alcool présente un risque d’addiction et des risques pour la santé mentale ;</w:t>
      </w:r>
    </w:p>
    <w:p w:rsidR="00746FC7" w:rsidRPr="00D333A9" w:rsidRDefault="000F1700" w:rsidP="0098157D">
      <w:pPr>
        <w:pStyle w:val="Paragraphedeliste"/>
        <w:numPr>
          <w:ilvl w:val="0"/>
          <w:numId w:val="3"/>
        </w:numPr>
        <w:pBdr>
          <w:top w:val="single" w:sz="4" w:space="1" w:color="auto"/>
          <w:left w:val="single" w:sz="4" w:space="20" w:color="auto"/>
          <w:bottom w:val="single" w:sz="4" w:space="1" w:color="auto"/>
          <w:right w:val="single" w:sz="4" w:space="4" w:color="auto"/>
        </w:pBdr>
        <w:ind w:right="2"/>
        <w:rPr>
          <w:lang w:val="fr-BE"/>
        </w:rPr>
      </w:pPr>
      <w:r w:rsidRPr="00D333A9">
        <w:rPr>
          <w:lang w:val="fr-BE"/>
        </w:rPr>
        <w:t>l</w:t>
      </w:r>
      <w:r w:rsidR="00746FC7" w:rsidRPr="00D333A9">
        <w:rPr>
          <w:lang w:val="fr-BE"/>
        </w:rPr>
        <w:t>’alcool a un impact sur les accidents de la route, à la maison et au travail, et divers problèmes familiaux et sociaux ;</w:t>
      </w:r>
    </w:p>
    <w:p w:rsidR="00746FC7" w:rsidRPr="00D333A9" w:rsidRDefault="000F1700" w:rsidP="0098157D">
      <w:pPr>
        <w:pStyle w:val="Paragraphedeliste"/>
        <w:numPr>
          <w:ilvl w:val="0"/>
          <w:numId w:val="3"/>
        </w:numPr>
        <w:pBdr>
          <w:top w:val="single" w:sz="4" w:space="1" w:color="auto"/>
          <w:left w:val="single" w:sz="4" w:space="20" w:color="auto"/>
          <w:bottom w:val="single" w:sz="4" w:space="1" w:color="auto"/>
          <w:right w:val="single" w:sz="4" w:space="4" w:color="auto"/>
        </w:pBdr>
        <w:ind w:right="2"/>
        <w:rPr>
          <w:lang w:val="fr-BE"/>
        </w:rPr>
      </w:pPr>
      <w:r w:rsidRPr="00D333A9">
        <w:rPr>
          <w:lang w:val="fr-BE"/>
        </w:rPr>
        <w:t>l</w:t>
      </w:r>
      <w:r w:rsidR="00746FC7" w:rsidRPr="00D333A9">
        <w:rPr>
          <w:lang w:val="fr-BE"/>
        </w:rPr>
        <w:t>es hommes courent plus de risques aigus et de mort violente, les femmes sont, quant à elles, plus vulnérables face aux maladies (risque hépatique, AVC, cancer</w:t>
      </w:r>
      <w:r w:rsidR="001261B7">
        <w:rPr>
          <w:lang w:val="fr-BE"/>
        </w:rPr>
        <w:t>, etc.</w:t>
      </w:r>
      <w:r w:rsidR="00746FC7" w:rsidRPr="00D333A9">
        <w:rPr>
          <w:lang w:val="fr-BE"/>
        </w:rPr>
        <w:t xml:space="preserve">). </w:t>
      </w:r>
    </w:p>
    <w:p w:rsidR="00746FC7" w:rsidRPr="00D333A9" w:rsidRDefault="00746FC7" w:rsidP="00AF7390">
      <w:pPr>
        <w:rPr>
          <w:lang w:val="fr-BE"/>
        </w:rPr>
      </w:pPr>
    </w:p>
    <w:p w:rsidR="00B07709" w:rsidRPr="00D333A9" w:rsidRDefault="005A1BBF" w:rsidP="00B07709">
      <w:pPr>
        <w:pStyle w:val="Titre3"/>
        <w:rPr>
          <w:lang w:val="nl-NL"/>
        </w:rPr>
      </w:pPr>
      <w:proofErr w:type="spellStart"/>
      <w:r w:rsidRPr="00D333A9">
        <w:rPr>
          <w:lang w:val="nl-NL"/>
        </w:rPr>
        <w:t>Introduction</w:t>
      </w:r>
      <w:proofErr w:type="spellEnd"/>
    </w:p>
    <w:p w:rsidR="00146519" w:rsidRPr="00D333A9" w:rsidRDefault="00146519" w:rsidP="00146519">
      <w:pPr>
        <w:rPr>
          <w:lang w:val="fr-BE"/>
        </w:rPr>
      </w:pPr>
      <w:r w:rsidRPr="00D333A9">
        <w:rPr>
          <w:lang w:val="fr-BE"/>
        </w:rPr>
        <w:t>La littérature scientifique contient de nombreuses informations sur les divers liens entre la consommation d'alcool et la santé. Bien qu'il existe un consensus en ce qui concerne l'influence négative d'une consommation excessive d'alcool sur divers problèmes de santé, l'utilité ou la nocivité d'une consommation modérée fait encore l'objet d'un grand désaccord parmi les scientifiques. Cette absence d'unanimité est probablement due en grande partie à des problèmes méthodologiques qui se posent lors de l'étude du sujet. Les populations étudiées sont souvent très différentes ; la mesure de la consommation d'alcool diffère souvent d'une étude à l'autre et n'est pas toujours aussi précise et valide. Les liens avec la maladie ne peuvent être déduits correctement que d'études de cohortes prospectives. Les études interventionnelles randomisées contrôlées (</w:t>
      </w:r>
      <w:r w:rsidR="00746FC7" w:rsidRPr="00D333A9">
        <w:rPr>
          <w:lang w:val="fr-BE"/>
        </w:rPr>
        <w:t>RCT</w:t>
      </w:r>
      <w:r w:rsidRPr="00D333A9">
        <w:rPr>
          <w:lang w:val="fr-BE"/>
        </w:rPr>
        <w:t xml:space="preserve">) ayant pour critères d'évaluation la maladie et le décès sont particulièrement rares. Globalement, l'impact de la consommation d'alcool sur la santé publique est considéré comme fortement défavorable, ce qui explique pourquoi l'Organisation mondiale de la Santé s'y intéresse amplement depuis longtemps déjà (OMS, 2014). Des estimations récentes réalisées dans le cadre de la </w:t>
      </w:r>
      <w:r w:rsidRPr="00D333A9">
        <w:rPr>
          <w:i/>
          <w:lang w:val="fr-BE"/>
        </w:rPr>
        <w:t xml:space="preserve">Global </w:t>
      </w:r>
      <w:proofErr w:type="spellStart"/>
      <w:r w:rsidRPr="00D333A9">
        <w:rPr>
          <w:i/>
          <w:lang w:val="fr-BE"/>
        </w:rPr>
        <w:t>Burden</w:t>
      </w:r>
      <w:proofErr w:type="spellEnd"/>
      <w:r w:rsidRPr="00D333A9">
        <w:rPr>
          <w:i/>
          <w:lang w:val="fr-BE"/>
        </w:rPr>
        <w:t xml:space="preserve"> of </w:t>
      </w:r>
      <w:proofErr w:type="spellStart"/>
      <w:r w:rsidRPr="00D333A9">
        <w:rPr>
          <w:i/>
          <w:lang w:val="fr-BE"/>
        </w:rPr>
        <w:t>Disease</w:t>
      </w:r>
      <w:proofErr w:type="spellEnd"/>
      <w:r w:rsidRPr="00D333A9">
        <w:rPr>
          <w:i/>
          <w:lang w:val="fr-BE"/>
        </w:rPr>
        <w:t xml:space="preserve"> </w:t>
      </w:r>
      <w:proofErr w:type="spellStart"/>
      <w:r w:rsidRPr="00D333A9">
        <w:rPr>
          <w:i/>
          <w:lang w:val="fr-BE"/>
        </w:rPr>
        <w:t>Study</w:t>
      </w:r>
      <w:proofErr w:type="spellEnd"/>
      <w:r w:rsidRPr="00D333A9">
        <w:rPr>
          <w:i/>
          <w:lang w:val="fr-BE"/>
        </w:rPr>
        <w:t xml:space="preserve"> </w:t>
      </w:r>
      <w:r w:rsidRPr="00D333A9">
        <w:rPr>
          <w:lang w:val="fr-BE"/>
        </w:rPr>
        <w:t>(GBD, 2016) classent la consommation d'alcool parmi les causes principales de décès et de charge de morbidité.</w:t>
      </w:r>
    </w:p>
    <w:p w:rsidR="00146519" w:rsidRPr="00D333A9" w:rsidRDefault="00146519" w:rsidP="00146519">
      <w:pPr>
        <w:rPr>
          <w:bCs/>
          <w:lang w:val="fr-BE"/>
        </w:rPr>
      </w:pPr>
      <w:r w:rsidRPr="00D333A9">
        <w:rPr>
          <w:lang w:val="fr-BE"/>
        </w:rPr>
        <w:t xml:space="preserve">La figure 1 montre la part relative des différents facteurs de risque liés aux habitudes de vie, au métabolisme et à l'environnement sur la charge de morbidité, exprimée en années de vie corrigées </w:t>
      </w:r>
      <w:r w:rsidR="00837B7A" w:rsidRPr="00D333A9">
        <w:rPr>
          <w:lang w:val="fr-BE"/>
        </w:rPr>
        <w:t xml:space="preserve">de </w:t>
      </w:r>
      <w:r w:rsidRPr="00D333A9">
        <w:rPr>
          <w:lang w:val="fr-BE"/>
        </w:rPr>
        <w:t>l'incapacité (</w:t>
      </w:r>
      <w:proofErr w:type="spellStart"/>
      <w:r w:rsidR="00837B7A" w:rsidRPr="00D333A9">
        <w:rPr>
          <w:i/>
          <w:lang w:val="fr-BE"/>
        </w:rPr>
        <w:t>Disability-adjusted</w:t>
      </w:r>
      <w:proofErr w:type="spellEnd"/>
      <w:r w:rsidR="00837B7A" w:rsidRPr="00D333A9">
        <w:rPr>
          <w:i/>
          <w:lang w:val="fr-BE"/>
        </w:rPr>
        <w:t xml:space="preserve"> life </w:t>
      </w:r>
      <w:proofErr w:type="spellStart"/>
      <w:r w:rsidR="00837B7A" w:rsidRPr="00D333A9">
        <w:rPr>
          <w:i/>
          <w:lang w:val="fr-BE"/>
        </w:rPr>
        <w:t>years</w:t>
      </w:r>
      <w:proofErr w:type="spellEnd"/>
      <w:r w:rsidR="00837B7A" w:rsidRPr="00D333A9">
        <w:rPr>
          <w:i/>
          <w:lang w:val="fr-BE"/>
        </w:rPr>
        <w:t xml:space="preserve"> </w:t>
      </w:r>
      <w:r w:rsidR="00837B7A" w:rsidRPr="00D333A9">
        <w:rPr>
          <w:lang w:val="fr-BE"/>
        </w:rPr>
        <w:t>- DALY</w:t>
      </w:r>
      <w:r w:rsidRPr="00D333A9">
        <w:rPr>
          <w:lang w:val="fr-BE"/>
        </w:rPr>
        <w:t xml:space="preserve">), en Belgique. </w:t>
      </w:r>
      <w:r w:rsidRPr="00D333A9">
        <w:rPr>
          <w:sz w:val="23"/>
          <w:szCs w:val="23"/>
          <w:lang w:val="fr-BE"/>
        </w:rPr>
        <w:t xml:space="preserve">Les DALY sont la somme des années de vie perdues du fait d'une mortalité prématurée (avant 75 ans) et de celles qui le sont du fait des années vécues sans être en pleine santé. </w:t>
      </w:r>
      <w:r w:rsidRPr="00D333A9">
        <w:rPr>
          <w:lang w:val="fr-BE"/>
        </w:rPr>
        <w:t>La consommation d'alcool est la quatrième cause, par ordre d'importance, des DALY.</w:t>
      </w:r>
    </w:p>
    <w:p w:rsidR="00F97649" w:rsidRPr="00D333A9" w:rsidRDefault="00F97649" w:rsidP="00146519">
      <w:pPr>
        <w:rPr>
          <w:lang w:val="fr-BE"/>
        </w:rPr>
      </w:pPr>
    </w:p>
    <w:p w:rsidR="00F97649" w:rsidRPr="00D333A9" w:rsidRDefault="00F97649" w:rsidP="00146519">
      <w:pPr>
        <w:rPr>
          <w:lang w:val="fr-BE"/>
        </w:rPr>
      </w:pPr>
    </w:p>
    <w:p w:rsidR="00F97649" w:rsidRPr="00D333A9" w:rsidRDefault="00F97649" w:rsidP="00146519">
      <w:pPr>
        <w:rPr>
          <w:lang w:val="fr-BE"/>
        </w:rPr>
      </w:pPr>
    </w:p>
    <w:p w:rsidR="00F97649" w:rsidRPr="00D333A9" w:rsidRDefault="00F97649" w:rsidP="00146519">
      <w:pPr>
        <w:rPr>
          <w:lang w:val="fr-BE"/>
        </w:rPr>
      </w:pPr>
    </w:p>
    <w:p w:rsidR="00F97649" w:rsidRPr="00D333A9" w:rsidRDefault="00F97649" w:rsidP="00146519">
      <w:pPr>
        <w:rPr>
          <w:lang w:val="fr-BE"/>
        </w:rPr>
      </w:pPr>
    </w:p>
    <w:p w:rsidR="00F97649" w:rsidRPr="00D333A9" w:rsidRDefault="00F97649" w:rsidP="00146519">
      <w:pPr>
        <w:rPr>
          <w:lang w:val="fr-BE"/>
        </w:rPr>
      </w:pPr>
    </w:p>
    <w:p w:rsidR="00F97649" w:rsidRPr="00D333A9" w:rsidRDefault="00F97649" w:rsidP="00146519">
      <w:pPr>
        <w:rPr>
          <w:lang w:val="fr-BE"/>
        </w:rPr>
      </w:pPr>
    </w:p>
    <w:p w:rsidR="00F97649" w:rsidRPr="00D333A9" w:rsidRDefault="00F97649" w:rsidP="00146519">
      <w:pPr>
        <w:rPr>
          <w:lang w:val="fr-BE"/>
        </w:rPr>
      </w:pPr>
    </w:p>
    <w:p w:rsidR="00F97649" w:rsidRPr="00D333A9" w:rsidRDefault="00F97649" w:rsidP="00146519">
      <w:pPr>
        <w:rPr>
          <w:lang w:val="fr-BE"/>
        </w:rPr>
      </w:pPr>
    </w:p>
    <w:p w:rsidR="00F97649" w:rsidRDefault="00F97649" w:rsidP="00146519">
      <w:pPr>
        <w:rPr>
          <w:lang w:val="fr-BE"/>
        </w:rPr>
      </w:pPr>
    </w:p>
    <w:p w:rsidR="009B295D" w:rsidRDefault="009B295D" w:rsidP="00146519">
      <w:pPr>
        <w:rPr>
          <w:lang w:val="fr-BE"/>
        </w:rPr>
      </w:pPr>
    </w:p>
    <w:p w:rsidR="009B295D" w:rsidRPr="00D333A9" w:rsidRDefault="009B295D" w:rsidP="00146519">
      <w:pPr>
        <w:rPr>
          <w:lang w:val="fr-BE"/>
        </w:rPr>
      </w:pPr>
    </w:p>
    <w:p w:rsidR="00DD7FDA" w:rsidRPr="00D333A9" w:rsidRDefault="00DD7FDA" w:rsidP="00146519">
      <w:pPr>
        <w:rPr>
          <w:lang w:val="fr-BE"/>
        </w:rPr>
      </w:pPr>
    </w:p>
    <w:p w:rsidR="00AF7390" w:rsidRPr="00D333A9" w:rsidRDefault="00AF7390" w:rsidP="00146519">
      <w:pPr>
        <w:rPr>
          <w:lang w:val="fr-BE"/>
        </w:rPr>
      </w:pPr>
    </w:p>
    <w:p w:rsidR="00146519" w:rsidRPr="00D333A9" w:rsidRDefault="00146519" w:rsidP="00146519">
      <w:pPr>
        <w:rPr>
          <w:bCs/>
          <w:lang w:val="fr-BE"/>
        </w:rPr>
      </w:pPr>
      <w:r w:rsidRPr="00D333A9">
        <w:rPr>
          <w:lang w:val="fr-BE"/>
        </w:rPr>
        <w:t>Figure 1. Part des facteurs de risque dans la charge de morbidité (DALY) en Belgique, 2016.</w:t>
      </w:r>
    </w:p>
    <w:p w:rsidR="00B07709" w:rsidRPr="0025301D" w:rsidRDefault="008606C9" w:rsidP="00B07709">
      <w:pPr>
        <w:rPr>
          <w:lang w:val="fr-BE"/>
        </w:rPr>
      </w:pPr>
      <w:r w:rsidRPr="000B0D93">
        <w:rPr>
          <w:noProof/>
        </w:rPr>
        <w:drawing>
          <wp:anchor distT="0" distB="0" distL="114300" distR="114300" simplePos="0" relativeHeight="251660288" behindDoc="0" locked="0" layoutInCell="1" allowOverlap="1" wp14:anchorId="5DBF6364" wp14:editId="1254ED77">
            <wp:simplePos x="0" y="0"/>
            <wp:positionH relativeFrom="column">
              <wp:posOffset>0</wp:posOffset>
            </wp:positionH>
            <wp:positionV relativeFrom="paragraph">
              <wp:posOffset>163195</wp:posOffset>
            </wp:positionV>
            <wp:extent cx="5751830" cy="4601210"/>
            <wp:effectExtent l="0" t="0" r="0" b="0"/>
            <wp:wrapThrough wrapText="bothSides">
              <wp:wrapPolygon edited="0">
                <wp:start x="0" y="0"/>
                <wp:lineTo x="0" y="21463"/>
                <wp:lineTo x="21462" y="21463"/>
                <wp:lineTo x="21462" y="0"/>
                <wp:lineTo x="0" y="0"/>
              </wp:wrapPolygon>
            </wp:wrapThrough>
            <wp:docPr id="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1830" cy="460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7709" w:rsidRPr="0025301D" w:rsidRDefault="00B07709" w:rsidP="00B07709">
      <w:pPr>
        <w:rPr>
          <w:lang w:val="fr-BE"/>
        </w:rPr>
      </w:pPr>
    </w:p>
    <w:p w:rsidR="005A1BBF" w:rsidRPr="00D333A9" w:rsidRDefault="005A1BBF" w:rsidP="005A1BBF">
      <w:pPr>
        <w:pStyle w:val="Titre3"/>
        <w:rPr>
          <w:lang w:val="nl-NL"/>
        </w:rPr>
      </w:pPr>
      <w:proofErr w:type="spellStart"/>
      <w:r w:rsidRPr="00D333A9">
        <w:rPr>
          <w:lang w:val="nl-NL"/>
        </w:rPr>
        <w:t>Risques</w:t>
      </w:r>
      <w:proofErr w:type="spellEnd"/>
      <w:r w:rsidRPr="00D333A9">
        <w:rPr>
          <w:lang w:val="nl-NL"/>
        </w:rPr>
        <w:t xml:space="preserve"> pour la santé </w:t>
      </w:r>
    </w:p>
    <w:p w:rsidR="00A03CF4" w:rsidRPr="00D333A9" w:rsidRDefault="00A03CF4" w:rsidP="00A03CF4">
      <w:pPr>
        <w:pStyle w:val="Titre4"/>
      </w:pPr>
      <w:r w:rsidRPr="00D333A9">
        <w:t>Santé somatique</w:t>
      </w:r>
    </w:p>
    <w:p w:rsidR="00B97C10" w:rsidRPr="00D333A9" w:rsidRDefault="00B97C10" w:rsidP="00B97C10">
      <w:pPr>
        <w:rPr>
          <w:lang w:val="fr-BE"/>
        </w:rPr>
      </w:pPr>
      <w:r w:rsidRPr="00D333A9">
        <w:rPr>
          <w:lang w:val="fr-BE"/>
        </w:rPr>
        <w:t xml:space="preserve">En 2012, </w:t>
      </w:r>
      <w:proofErr w:type="spellStart"/>
      <w:r w:rsidRPr="00D333A9">
        <w:rPr>
          <w:lang w:val="fr-BE"/>
        </w:rPr>
        <w:t>Roerecke</w:t>
      </w:r>
      <w:proofErr w:type="spellEnd"/>
      <w:r w:rsidRPr="00D333A9">
        <w:rPr>
          <w:lang w:val="fr-BE"/>
        </w:rPr>
        <w:t xml:space="preserve"> et </w:t>
      </w:r>
      <w:proofErr w:type="spellStart"/>
      <w:r w:rsidRPr="00D333A9">
        <w:rPr>
          <w:lang w:val="fr-BE"/>
        </w:rPr>
        <w:t>Rehm</w:t>
      </w:r>
      <w:proofErr w:type="spellEnd"/>
      <w:r w:rsidRPr="00D333A9">
        <w:rPr>
          <w:lang w:val="fr-BE"/>
        </w:rPr>
        <w:t xml:space="preserve"> ont pu</w:t>
      </w:r>
      <w:r w:rsidR="00746FC7" w:rsidRPr="00D333A9">
        <w:rPr>
          <w:lang w:val="fr-BE"/>
        </w:rPr>
        <w:t>blié un aperçu des résultats d</w:t>
      </w:r>
      <w:r w:rsidRPr="00D333A9">
        <w:rPr>
          <w:lang w:val="fr-BE"/>
        </w:rPr>
        <w:t>'étude</w:t>
      </w:r>
      <w:r w:rsidR="00746FC7" w:rsidRPr="00D333A9">
        <w:rPr>
          <w:lang w:val="fr-BE"/>
        </w:rPr>
        <w:t>s</w:t>
      </w:r>
      <w:r w:rsidRPr="00D333A9">
        <w:rPr>
          <w:lang w:val="fr-BE"/>
        </w:rPr>
        <w:t xml:space="preserve"> épidémiologique</w:t>
      </w:r>
      <w:r w:rsidR="00746FC7" w:rsidRPr="00D333A9">
        <w:rPr>
          <w:lang w:val="fr-BE"/>
        </w:rPr>
        <w:t>s</w:t>
      </w:r>
      <w:r w:rsidRPr="00D333A9">
        <w:rPr>
          <w:lang w:val="fr-BE"/>
        </w:rPr>
        <w:t xml:space="preserve"> relative</w:t>
      </w:r>
      <w:r w:rsidR="00746FC7" w:rsidRPr="00D333A9">
        <w:rPr>
          <w:lang w:val="fr-BE"/>
        </w:rPr>
        <w:t>s</w:t>
      </w:r>
      <w:r w:rsidRPr="00D333A9">
        <w:rPr>
          <w:lang w:val="fr-BE"/>
        </w:rPr>
        <w:t xml:space="preserve"> à l'impact de la consommation d'alcool sur les maladies cardiovasculaires, les maladies vasculaires cérébrales, le diabète, le cancer et les maladies infectieuses (</w:t>
      </w:r>
      <w:proofErr w:type="spellStart"/>
      <w:r w:rsidRPr="00D333A9">
        <w:rPr>
          <w:lang w:val="fr-BE"/>
        </w:rPr>
        <w:t>Roerecke</w:t>
      </w:r>
      <w:proofErr w:type="spellEnd"/>
      <w:r w:rsidRPr="00D333A9">
        <w:rPr>
          <w:lang w:val="fr-BE"/>
        </w:rPr>
        <w:t xml:space="preserve"> &amp; </w:t>
      </w:r>
      <w:proofErr w:type="spellStart"/>
      <w:r w:rsidRPr="00D333A9">
        <w:rPr>
          <w:lang w:val="fr-BE"/>
        </w:rPr>
        <w:t>Rehm</w:t>
      </w:r>
      <w:proofErr w:type="spellEnd"/>
      <w:r w:rsidRPr="00D333A9">
        <w:rPr>
          <w:lang w:val="fr-BE"/>
        </w:rPr>
        <w:t>, 2012).</w:t>
      </w:r>
    </w:p>
    <w:p w:rsidR="00DF5F04" w:rsidRPr="00D333A9" w:rsidRDefault="00DF5F04" w:rsidP="00B97C10">
      <w:pPr>
        <w:rPr>
          <w:lang w:val="fr-BE"/>
        </w:rPr>
      </w:pPr>
    </w:p>
    <w:p w:rsidR="00B97C10" w:rsidRPr="00D333A9" w:rsidRDefault="00B97C10" w:rsidP="00B97C10">
      <w:pPr>
        <w:rPr>
          <w:rFonts w:cs="Arial"/>
          <w:bCs/>
          <w:lang w:val="fr-BE"/>
        </w:rPr>
      </w:pPr>
      <w:r w:rsidRPr="00D333A9">
        <w:rPr>
          <w:lang w:val="fr-BE"/>
        </w:rPr>
        <w:t>Une méta-analyse de 44 études a permis de constater qu'une consommation modérée d'alcool (≤ 2 verres/jour pour les hommes ; ≤</w:t>
      </w:r>
      <w:r w:rsidR="001261B7">
        <w:rPr>
          <w:lang w:val="fr-BE"/>
        </w:rPr>
        <w:t xml:space="preserve"> </w:t>
      </w:r>
      <w:r w:rsidRPr="00D333A9">
        <w:rPr>
          <w:lang w:val="fr-BE"/>
        </w:rPr>
        <w:t>1 verre/jour pour les femmes) s'accompagnait d'une diminution du risque de maladie cardiovasculaire par rapport aux personnes qui ne consomment pas d'alcool durant toute leur vie. Le risque relatif (RR) de décès dû à une maladie cardiovasculaire variait de 0,86 à 0,89 chez les hommes et de 0,84 à 1,03 chez les femmes ; le risque relatif de morbidité cardiovasculaire variait de 0,75 à 0,77 chez les hommes et de 0,54 à 0,61 chez les femmes (</w:t>
      </w:r>
      <w:proofErr w:type="spellStart"/>
      <w:r w:rsidRPr="00D333A9">
        <w:rPr>
          <w:lang w:val="fr-BE"/>
        </w:rPr>
        <w:t>Roerecke</w:t>
      </w:r>
      <w:proofErr w:type="spellEnd"/>
      <w:r w:rsidRPr="00D333A9">
        <w:rPr>
          <w:lang w:val="fr-BE"/>
        </w:rPr>
        <w:t xml:space="preserve"> &amp; </w:t>
      </w:r>
      <w:proofErr w:type="spellStart"/>
      <w:r w:rsidRPr="00D333A9">
        <w:rPr>
          <w:lang w:val="fr-BE"/>
        </w:rPr>
        <w:t>Rehm</w:t>
      </w:r>
      <w:proofErr w:type="spellEnd"/>
      <w:r w:rsidRPr="00D333A9">
        <w:rPr>
          <w:lang w:val="fr-BE"/>
        </w:rPr>
        <w:t>, 2012). Dans un article plus récent, ces auteurs montrent qu'il n'existe pas de niveau de consommation sûr et que la consommation d'alcool ne devrait pas être encouragée (</w:t>
      </w:r>
      <w:proofErr w:type="spellStart"/>
      <w:r w:rsidRPr="00D333A9">
        <w:rPr>
          <w:lang w:val="fr-BE"/>
        </w:rPr>
        <w:t>Rehm</w:t>
      </w:r>
      <w:proofErr w:type="spellEnd"/>
      <w:r w:rsidRPr="00D333A9">
        <w:rPr>
          <w:lang w:val="fr-BE"/>
        </w:rPr>
        <w:t xml:space="preserve"> &amp; </w:t>
      </w:r>
      <w:proofErr w:type="spellStart"/>
      <w:r w:rsidRPr="00D333A9">
        <w:rPr>
          <w:lang w:val="fr-BE"/>
        </w:rPr>
        <w:t>Roerecke</w:t>
      </w:r>
      <w:proofErr w:type="spellEnd"/>
      <w:r w:rsidRPr="00D333A9">
        <w:rPr>
          <w:lang w:val="fr-BE"/>
        </w:rPr>
        <w:t>, 2017).</w:t>
      </w:r>
    </w:p>
    <w:p w:rsidR="00B97C10" w:rsidRPr="00D333A9" w:rsidRDefault="00B97C10" w:rsidP="00B97C10">
      <w:pPr>
        <w:rPr>
          <w:rFonts w:cs="Arial"/>
          <w:bCs/>
          <w:lang w:val="fr-BE"/>
        </w:rPr>
      </w:pPr>
    </w:p>
    <w:p w:rsidR="00B97C10" w:rsidRPr="00D333A9" w:rsidRDefault="00B97C10" w:rsidP="00B97C10">
      <w:pPr>
        <w:rPr>
          <w:rFonts w:cs="Arial"/>
          <w:bCs/>
          <w:lang w:val="fr-FR"/>
        </w:rPr>
      </w:pPr>
      <w:r w:rsidRPr="00D333A9">
        <w:rPr>
          <w:lang w:val="fr-BE"/>
        </w:rPr>
        <w:t>Une méta-analyse de 26 études a permis de constater qu'une consommation d'alcool ≤ 1 verre/jour s'accompagnait d'une diminution du risque d'accident vasculaire cérébral ischémique (RR de 0,86 pour les cas fatals et de 0,85 pour les cas non fatals chez les hommes ; RR de 0,66 pour les cas fatals et de 0,82 pour les cas non fatals chez les femmes) ; aucun effet n'a été observé en cas de consommation d'alcool ≥ 3 verres/jour (</w:t>
      </w:r>
      <w:proofErr w:type="spellStart"/>
      <w:r w:rsidRPr="00D333A9">
        <w:rPr>
          <w:lang w:val="fr-BE"/>
        </w:rPr>
        <w:t>Patra</w:t>
      </w:r>
      <w:proofErr w:type="spellEnd"/>
      <w:r w:rsidRPr="00D333A9">
        <w:rPr>
          <w:lang w:val="fr-BE"/>
        </w:rPr>
        <w:t xml:space="preserve"> et al., 2010). </w:t>
      </w:r>
    </w:p>
    <w:p w:rsidR="00B97C10" w:rsidRPr="00D333A9" w:rsidRDefault="00B97C10" w:rsidP="00B97C10">
      <w:pPr>
        <w:rPr>
          <w:rFonts w:cs="Arial"/>
          <w:bCs/>
          <w:lang w:val="fr-BE"/>
        </w:rPr>
      </w:pPr>
      <w:r w:rsidRPr="00D333A9">
        <w:rPr>
          <w:lang w:val="fr-BE"/>
        </w:rPr>
        <w:t xml:space="preserve">En revanche, il a été conclu, sur la base de la littérature, qu'il existe des preuves convaincantes et cohérentes permettant d'admettre un effet nocif de la consommation d'alcool sur les accidents vasculaires cérébraux </w:t>
      </w:r>
      <w:r w:rsidR="00E63922" w:rsidRPr="00D333A9">
        <w:rPr>
          <w:lang w:val="fr-BE"/>
        </w:rPr>
        <w:t xml:space="preserve">(AVC) </w:t>
      </w:r>
      <w:r w:rsidRPr="00D333A9">
        <w:rPr>
          <w:lang w:val="fr-BE"/>
        </w:rPr>
        <w:t>hémorragiques, même à partir d'une consommation d'alcool modérée</w:t>
      </w:r>
      <w:r w:rsidR="007C6E01">
        <w:rPr>
          <w:lang w:val="fr-BE"/>
        </w:rPr>
        <w:t xml:space="preserve"> (1 ou 2 unités/</w:t>
      </w:r>
      <w:r w:rsidR="00862521">
        <w:rPr>
          <w:lang w:val="fr-BE"/>
        </w:rPr>
        <w:t>jour)</w:t>
      </w:r>
      <w:r w:rsidRPr="00D333A9">
        <w:rPr>
          <w:lang w:val="fr-BE"/>
        </w:rPr>
        <w:t>.</w:t>
      </w:r>
    </w:p>
    <w:p w:rsidR="00B97C10" w:rsidRPr="00D333A9" w:rsidRDefault="00B97C10" w:rsidP="00B97C10">
      <w:pPr>
        <w:rPr>
          <w:lang w:val="fr-BE"/>
        </w:rPr>
      </w:pPr>
      <w:r w:rsidRPr="00D333A9">
        <w:rPr>
          <w:lang w:val="fr-BE"/>
        </w:rPr>
        <w:t>Des études observationnelles et interventionnelles montrent un lien favorable entre une c</w:t>
      </w:r>
      <w:r w:rsidR="007C6E01">
        <w:rPr>
          <w:lang w:val="fr-BE"/>
        </w:rPr>
        <w:t xml:space="preserve">onsommation modérée d'alcool (&lt; </w:t>
      </w:r>
      <w:r w:rsidRPr="00D333A9">
        <w:rPr>
          <w:lang w:val="fr-BE"/>
        </w:rPr>
        <w:t>2 verres/jour) et le diabète de type 2. La diminution du risque était d'environ 40 % (IC 95 % : 31-48) chez les femmes et de 13 % (IC 95 % : 0-24) chez les hommes. La consommation de ≥ 4 verres d'alcool/jour était associée au même risque que chez les personnes qui n'avaient pas consommé d'alcool durant toute leur vie (</w:t>
      </w:r>
      <w:proofErr w:type="spellStart"/>
      <w:r w:rsidRPr="00D333A9">
        <w:rPr>
          <w:lang w:val="fr-BE"/>
        </w:rPr>
        <w:t>Baliunas</w:t>
      </w:r>
      <w:proofErr w:type="spellEnd"/>
      <w:r w:rsidRPr="00D333A9">
        <w:rPr>
          <w:lang w:val="fr-BE"/>
        </w:rPr>
        <w:t xml:space="preserve"> et al., 2009). </w:t>
      </w:r>
    </w:p>
    <w:p w:rsidR="00DF5F04" w:rsidRPr="00D333A9" w:rsidRDefault="00DF5F04" w:rsidP="00B97C10">
      <w:pPr>
        <w:rPr>
          <w:lang w:val="fr-BE"/>
        </w:rPr>
      </w:pPr>
    </w:p>
    <w:p w:rsidR="00DF5F04" w:rsidRPr="00D333A9" w:rsidRDefault="00DF5F04" w:rsidP="00DF5F04">
      <w:pPr>
        <w:rPr>
          <w:lang w:val="fr-BE"/>
        </w:rPr>
      </w:pPr>
      <w:r w:rsidRPr="00D333A9">
        <w:rPr>
          <w:lang w:val="fr-BE"/>
        </w:rPr>
        <w:t xml:space="preserve">Des méta-analyses </w:t>
      </w:r>
      <w:r w:rsidR="0075118A">
        <w:rPr>
          <w:lang w:val="fr-BE"/>
        </w:rPr>
        <w:t>qui tiennent compte du type d’études et d’autres</w:t>
      </w:r>
      <w:r w:rsidRPr="00D333A9">
        <w:rPr>
          <w:lang w:val="fr-BE"/>
        </w:rPr>
        <w:t xml:space="preserve"> caractéristiques de l'étude révèlent que la consommation faible d'alcool ne possède pas d'avantage en termes de mortalité nette, par rapport à l'abstinence à vie ou à une consommation occasionnelle d'alcool (</w:t>
      </w:r>
      <w:proofErr w:type="spellStart"/>
      <w:r w:rsidRPr="00D333A9">
        <w:rPr>
          <w:lang w:val="fr-BE"/>
        </w:rPr>
        <w:t>Stockwell</w:t>
      </w:r>
      <w:proofErr w:type="spellEnd"/>
      <w:r w:rsidRPr="00D333A9">
        <w:rPr>
          <w:lang w:val="fr-BE"/>
        </w:rPr>
        <w:t xml:space="preserve"> et al., 2016). Dans leur méta-analyse récente, Zhao et al. (2017) ont conclu que l'hypothèse selon laquelle la consommation d'alcool possède un effet protecteur sur les maladies coronariennes ne peut pas être confirmée, étant donné que les étude</w:t>
      </w:r>
      <w:r w:rsidR="0075118A">
        <w:rPr>
          <w:lang w:val="fr-BE"/>
        </w:rPr>
        <w:t>s sont associées à de nombreux</w:t>
      </w:r>
      <w:r w:rsidRPr="00D333A9">
        <w:rPr>
          <w:lang w:val="fr-BE"/>
        </w:rPr>
        <w:t xml:space="preserve"> </w:t>
      </w:r>
      <w:r w:rsidR="0075118A">
        <w:rPr>
          <w:lang w:val="fr-BE"/>
        </w:rPr>
        <w:t>biais</w:t>
      </w:r>
      <w:r w:rsidRPr="00D333A9">
        <w:rPr>
          <w:lang w:val="fr-BE"/>
        </w:rPr>
        <w:t xml:space="preserve"> méthodologiques (« </w:t>
      </w:r>
      <w:proofErr w:type="spellStart"/>
      <w:r w:rsidRPr="00D333A9">
        <w:rPr>
          <w:i/>
          <w:lang w:val="fr-BE"/>
        </w:rPr>
        <w:t>abstainer</w:t>
      </w:r>
      <w:proofErr w:type="spellEnd"/>
      <w:r w:rsidRPr="00D333A9">
        <w:rPr>
          <w:i/>
          <w:lang w:val="fr-BE"/>
        </w:rPr>
        <w:t xml:space="preserve"> </w:t>
      </w:r>
      <w:proofErr w:type="spellStart"/>
      <w:r w:rsidRPr="00D333A9">
        <w:rPr>
          <w:i/>
          <w:lang w:val="fr-BE"/>
        </w:rPr>
        <w:t>bias</w:t>
      </w:r>
      <w:proofErr w:type="spellEnd"/>
      <w:r w:rsidRPr="00D333A9">
        <w:rPr>
          <w:lang w:val="fr-BE"/>
        </w:rPr>
        <w:t> », « </w:t>
      </w:r>
      <w:proofErr w:type="spellStart"/>
      <w:r w:rsidRPr="00D333A9">
        <w:rPr>
          <w:i/>
          <w:lang w:val="fr-BE"/>
        </w:rPr>
        <w:t>healthy</w:t>
      </w:r>
      <w:proofErr w:type="spellEnd"/>
      <w:r w:rsidRPr="00D333A9">
        <w:rPr>
          <w:i/>
          <w:lang w:val="fr-BE"/>
        </w:rPr>
        <w:t xml:space="preserve"> </w:t>
      </w:r>
      <w:proofErr w:type="spellStart"/>
      <w:r w:rsidRPr="00D333A9">
        <w:rPr>
          <w:i/>
          <w:lang w:val="fr-BE"/>
        </w:rPr>
        <w:t>survivor</w:t>
      </w:r>
      <w:proofErr w:type="spellEnd"/>
      <w:r w:rsidRPr="00D333A9">
        <w:rPr>
          <w:i/>
          <w:lang w:val="fr-BE"/>
        </w:rPr>
        <w:t xml:space="preserve"> </w:t>
      </w:r>
      <w:proofErr w:type="spellStart"/>
      <w:r w:rsidRPr="00D333A9">
        <w:rPr>
          <w:i/>
          <w:lang w:val="fr-BE"/>
        </w:rPr>
        <w:t>bias</w:t>
      </w:r>
      <w:proofErr w:type="spellEnd"/>
      <w:r w:rsidR="007C6E01">
        <w:rPr>
          <w:lang w:val="fr-BE"/>
        </w:rPr>
        <w:t> », etc.</w:t>
      </w:r>
      <w:r w:rsidRPr="00D333A9">
        <w:rPr>
          <w:lang w:val="fr-BE"/>
        </w:rPr>
        <w:t>).</w:t>
      </w:r>
    </w:p>
    <w:p w:rsidR="00DF5F04" w:rsidRPr="00D333A9" w:rsidRDefault="00DF5F04" w:rsidP="00B97C10">
      <w:pPr>
        <w:rPr>
          <w:rFonts w:cs="Arial"/>
          <w:bCs/>
          <w:lang w:val="fr-BE"/>
        </w:rPr>
      </w:pPr>
    </w:p>
    <w:p w:rsidR="00B97C10" w:rsidRPr="00D333A9" w:rsidRDefault="00B97C10" w:rsidP="00B97C10">
      <w:pPr>
        <w:rPr>
          <w:lang w:val="fr-BE"/>
        </w:rPr>
      </w:pPr>
      <w:r w:rsidRPr="00D333A9">
        <w:rPr>
          <w:lang w:val="fr-BE"/>
        </w:rPr>
        <w:t>Des liens ont depuis longtemps été mis en évidence entre la consommation d'alcool et certains types de cancer. En 2010, le Centre international de Recherche sur le Cancer (CIRC) a donné un bon aperçu de cette étude, avec une attention particulière pour le cancer colorectal, le cancer de l'œsophage, le cancer du larynx et le cancer de l'oropharynx ; un lien avec le cancer du sein a également été mis en évidence (CIRC, 2010). Ces conclusions ont été confirmées en 2015 dans le Code européen contre le cancer (</w:t>
      </w:r>
      <w:proofErr w:type="spellStart"/>
      <w:r w:rsidRPr="00D333A9">
        <w:rPr>
          <w:lang w:val="fr-BE"/>
        </w:rPr>
        <w:t>Scoccianti</w:t>
      </w:r>
      <w:proofErr w:type="spellEnd"/>
      <w:r w:rsidRPr="00D333A9">
        <w:rPr>
          <w:lang w:val="fr-BE"/>
        </w:rPr>
        <w:t xml:space="preserve"> et al., 2015).</w:t>
      </w:r>
    </w:p>
    <w:p w:rsidR="00746FC7" w:rsidRPr="00D333A9" w:rsidRDefault="00746FC7" w:rsidP="00B97C10">
      <w:pPr>
        <w:rPr>
          <w:rFonts w:cs="Arial"/>
          <w:bCs/>
          <w:lang w:val="fr-BE"/>
        </w:rPr>
      </w:pPr>
    </w:p>
    <w:p w:rsidR="00B97C10" w:rsidRPr="00D333A9" w:rsidRDefault="00B97C10" w:rsidP="00B97C10">
      <w:pPr>
        <w:rPr>
          <w:lang w:val="fr-BE"/>
        </w:rPr>
      </w:pPr>
      <w:r w:rsidRPr="00D333A9">
        <w:rPr>
          <w:lang w:val="fr-BE"/>
        </w:rPr>
        <w:t>Le tableau </w:t>
      </w:r>
      <w:r w:rsidR="000F1700" w:rsidRPr="00D333A9">
        <w:rPr>
          <w:lang w:val="fr-BE"/>
        </w:rPr>
        <w:t>5</w:t>
      </w:r>
      <w:r w:rsidRPr="00D333A9">
        <w:rPr>
          <w:lang w:val="fr-BE"/>
        </w:rPr>
        <w:t xml:space="preserve"> présente les résultats d'une méta-analyse, ainsi que le RR de certaines formes de cancer dans trois catégories de consommation d'alcool par rapport aux non-consommateurs (</w:t>
      </w:r>
      <w:proofErr w:type="spellStart"/>
      <w:r w:rsidRPr="00D333A9">
        <w:rPr>
          <w:lang w:val="fr-BE"/>
        </w:rPr>
        <w:t>Bagnardi</w:t>
      </w:r>
      <w:proofErr w:type="spellEnd"/>
      <w:r w:rsidRPr="00D333A9">
        <w:rPr>
          <w:lang w:val="fr-BE"/>
        </w:rPr>
        <w:t xml:space="preserve"> et al., 2015). </w:t>
      </w:r>
    </w:p>
    <w:p w:rsidR="00746FC7" w:rsidRPr="00D333A9" w:rsidRDefault="00746FC7" w:rsidP="00B97C10">
      <w:pPr>
        <w:rPr>
          <w:rFonts w:cs="Arial"/>
          <w:bCs/>
          <w:lang w:val="fr-BE"/>
        </w:rPr>
      </w:pPr>
    </w:p>
    <w:p w:rsidR="00B97C10" w:rsidRPr="00D333A9" w:rsidRDefault="00B97C10" w:rsidP="00B97C10">
      <w:pPr>
        <w:rPr>
          <w:rFonts w:cs="Arial"/>
          <w:bCs/>
          <w:lang w:val="fr-BE"/>
        </w:rPr>
      </w:pPr>
      <w:r w:rsidRPr="00D333A9">
        <w:rPr>
          <w:lang w:val="fr-BE"/>
        </w:rPr>
        <w:t xml:space="preserve">La consommation faible d'alcool est définie comme </w:t>
      </w:r>
      <w:r w:rsidR="00CC5EC1" w:rsidRPr="00D333A9">
        <w:rPr>
          <w:lang w:val="fr-BE"/>
        </w:rPr>
        <w:t>≤</w:t>
      </w:r>
      <w:r w:rsidRPr="00D333A9">
        <w:rPr>
          <w:lang w:val="fr-BE"/>
        </w:rPr>
        <w:t xml:space="preserve"> 12,5 g d'alcool/jour, la consommation modérée comme &gt; 12,5 ≤ 50 g d'alcool/jour et la consommation élevée comme &gt; 50 g d'alcool/jour.</w:t>
      </w:r>
    </w:p>
    <w:p w:rsidR="00B97C10" w:rsidRPr="00D333A9" w:rsidRDefault="00B97C10" w:rsidP="00B97C10">
      <w:pPr>
        <w:rPr>
          <w:rFonts w:cs="Arial"/>
          <w:bCs/>
          <w:lang w:val="fr-BE"/>
        </w:rPr>
      </w:pPr>
    </w:p>
    <w:p w:rsidR="00B97C10" w:rsidRPr="00D333A9" w:rsidRDefault="00B97C10" w:rsidP="00B97C10">
      <w:pPr>
        <w:rPr>
          <w:rFonts w:cs="Arial"/>
          <w:bCs/>
          <w:lang w:val="fr-FR"/>
        </w:rPr>
      </w:pPr>
      <w:r w:rsidRPr="00D333A9">
        <w:rPr>
          <w:lang w:val="fr-BE"/>
        </w:rPr>
        <w:t>Table</w:t>
      </w:r>
      <w:r w:rsidR="00BF43A5" w:rsidRPr="00D333A9">
        <w:rPr>
          <w:lang w:val="fr-BE"/>
        </w:rPr>
        <w:t xml:space="preserve"> </w:t>
      </w:r>
      <w:r w:rsidR="000F1700" w:rsidRPr="00D333A9">
        <w:rPr>
          <w:lang w:val="fr-BE"/>
        </w:rPr>
        <w:t>5</w:t>
      </w:r>
      <w:r w:rsidRPr="00D333A9">
        <w:rPr>
          <w:lang w:val="fr-BE"/>
        </w:rPr>
        <w:t> : risque relatif (intervalle de confiance à 95 %) du développement de certains cancers en fonction de la consommation d'alcool</w:t>
      </w:r>
    </w:p>
    <w:tbl>
      <w:tblPr>
        <w:tblStyle w:val="Grilledutableau"/>
        <w:tblW w:w="0" w:type="dxa"/>
        <w:tblLayout w:type="fixed"/>
        <w:tblLook w:val="04A0" w:firstRow="1" w:lastRow="0" w:firstColumn="1" w:lastColumn="0" w:noHBand="0" w:noVBand="1"/>
      </w:tblPr>
      <w:tblGrid>
        <w:gridCol w:w="1838"/>
        <w:gridCol w:w="1843"/>
        <w:gridCol w:w="1701"/>
        <w:gridCol w:w="1843"/>
        <w:gridCol w:w="2053"/>
      </w:tblGrid>
      <w:tr w:rsidR="00B97C10" w:rsidRPr="00D333A9" w:rsidTr="00B97C10">
        <w:tc>
          <w:tcPr>
            <w:tcW w:w="1838" w:type="dxa"/>
            <w:tcBorders>
              <w:top w:val="single" w:sz="4" w:space="0" w:color="auto"/>
              <w:left w:val="single" w:sz="4" w:space="0" w:color="auto"/>
              <w:bottom w:val="single" w:sz="4" w:space="0" w:color="auto"/>
              <w:right w:val="single" w:sz="4" w:space="0" w:color="auto"/>
            </w:tcBorders>
            <w:hideMark/>
          </w:tcPr>
          <w:p w:rsidR="00280959" w:rsidRPr="00D333A9" w:rsidRDefault="00280959">
            <w:pPr>
              <w:jc w:val="left"/>
              <w:rPr>
                <w:rFonts w:cs="Arial"/>
                <w:bCs/>
                <w:sz w:val="22"/>
                <w:szCs w:val="22"/>
                <w:lang w:val="fr-BE"/>
              </w:rPr>
            </w:pPr>
          </w:p>
          <w:p w:rsidR="00B97C10" w:rsidRPr="00D333A9" w:rsidRDefault="00B97C10">
            <w:pPr>
              <w:jc w:val="left"/>
              <w:rPr>
                <w:rFonts w:cs="Arial"/>
                <w:bCs/>
                <w:sz w:val="22"/>
                <w:szCs w:val="22"/>
              </w:rPr>
            </w:pPr>
            <w:r w:rsidRPr="00D333A9">
              <w:rPr>
                <w:rFonts w:cs="Arial"/>
                <w:bCs/>
                <w:sz w:val="22"/>
                <w:szCs w:val="22"/>
              </w:rPr>
              <w:t xml:space="preserve">Type de </w:t>
            </w:r>
            <w:proofErr w:type="spellStart"/>
            <w:r w:rsidRPr="00D333A9">
              <w:rPr>
                <w:rFonts w:cs="Arial"/>
                <w:bCs/>
                <w:sz w:val="22"/>
                <w:szCs w:val="22"/>
              </w:rPr>
              <w:t>cancer</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left"/>
              <w:rPr>
                <w:rFonts w:cs="Arial"/>
                <w:bCs/>
                <w:sz w:val="22"/>
                <w:szCs w:val="22"/>
              </w:rPr>
            </w:pPr>
            <w:r w:rsidRPr="00D333A9">
              <w:rPr>
                <w:rFonts w:cs="Arial"/>
                <w:bCs/>
                <w:sz w:val="22"/>
                <w:szCs w:val="22"/>
              </w:rPr>
              <w:t>Non-</w:t>
            </w:r>
            <w:proofErr w:type="spellStart"/>
            <w:r w:rsidRPr="00D333A9">
              <w:rPr>
                <w:rFonts w:cs="Arial"/>
                <w:bCs/>
                <w:sz w:val="22"/>
                <w:szCs w:val="22"/>
              </w:rPr>
              <w:t>consommateur</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left"/>
              <w:rPr>
                <w:rFonts w:cs="Arial"/>
                <w:bCs/>
                <w:sz w:val="22"/>
                <w:szCs w:val="22"/>
              </w:rPr>
            </w:pPr>
            <w:proofErr w:type="spellStart"/>
            <w:r w:rsidRPr="00D333A9">
              <w:rPr>
                <w:rFonts w:cs="Arial"/>
                <w:bCs/>
                <w:sz w:val="22"/>
                <w:szCs w:val="22"/>
              </w:rPr>
              <w:t>Consommation</w:t>
            </w:r>
            <w:proofErr w:type="spellEnd"/>
          </w:p>
          <w:p w:rsidR="00B97C10" w:rsidRPr="00D333A9" w:rsidRDefault="00B97C10">
            <w:pPr>
              <w:jc w:val="left"/>
              <w:rPr>
                <w:rFonts w:cs="Arial"/>
                <w:bCs/>
                <w:sz w:val="22"/>
                <w:szCs w:val="22"/>
              </w:rPr>
            </w:pPr>
            <w:proofErr w:type="spellStart"/>
            <w:proofErr w:type="gramStart"/>
            <w:r w:rsidRPr="00D333A9">
              <w:rPr>
                <w:rFonts w:cs="Arial"/>
                <w:bCs/>
                <w:sz w:val="22"/>
                <w:szCs w:val="22"/>
              </w:rPr>
              <w:t>faible</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left"/>
              <w:rPr>
                <w:rFonts w:cs="Arial"/>
                <w:bCs/>
                <w:sz w:val="22"/>
                <w:szCs w:val="22"/>
              </w:rPr>
            </w:pPr>
            <w:proofErr w:type="spellStart"/>
            <w:r w:rsidRPr="00D333A9">
              <w:rPr>
                <w:rFonts w:cs="Arial"/>
                <w:bCs/>
                <w:sz w:val="22"/>
                <w:szCs w:val="22"/>
              </w:rPr>
              <w:t>Consommation</w:t>
            </w:r>
            <w:proofErr w:type="spellEnd"/>
          </w:p>
          <w:p w:rsidR="00B97C10" w:rsidRPr="00D333A9" w:rsidRDefault="00B97C10">
            <w:pPr>
              <w:jc w:val="left"/>
              <w:rPr>
                <w:rFonts w:cs="Arial"/>
                <w:bCs/>
                <w:sz w:val="22"/>
                <w:szCs w:val="22"/>
              </w:rPr>
            </w:pPr>
            <w:proofErr w:type="spellStart"/>
            <w:proofErr w:type="gramStart"/>
            <w:r w:rsidRPr="00D333A9">
              <w:rPr>
                <w:rFonts w:cs="Arial"/>
                <w:bCs/>
                <w:sz w:val="22"/>
                <w:szCs w:val="22"/>
              </w:rPr>
              <w:t>modérée</w:t>
            </w:r>
            <w:proofErr w:type="spellEnd"/>
            <w:proofErr w:type="gramEnd"/>
          </w:p>
        </w:tc>
        <w:tc>
          <w:tcPr>
            <w:tcW w:w="2053"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left"/>
              <w:rPr>
                <w:rFonts w:cs="Arial"/>
                <w:bCs/>
                <w:sz w:val="22"/>
                <w:szCs w:val="22"/>
              </w:rPr>
            </w:pPr>
            <w:proofErr w:type="spellStart"/>
            <w:r w:rsidRPr="00D333A9">
              <w:rPr>
                <w:rFonts w:cs="Arial"/>
                <w:bCs/>
                <w:sz w:val="22"/>
                <w:szCs w:val="22"/>
              </w:rPr>
              <w:t>Consommation</w:t>
            </w:r>
            <w:proofErr w:type="spellEnd"/>
          </w:p>
          <w:p w:rsidR="00B97C10" w:rsidRPr="00D333A9" w:rsidRDefault="00B97C10">
            <w:pPr>
              <w:jc w:val="left"/>
              <w:rPr>
                <w:rFonts w:cs="Arial"/>
                <w:bCs/>
                <w:sz w:val="22"/>
                <w:szCs w:val="22"/>
              </w:rPr>
            </w:pPr>
            <w:proofErr w:type="spellStart"/>
            <w:proofErr w:type="gramStart"/>
            <w:r w:rsidRPr="00D333A9">
              <w:rPr>
                <w:rFonts w:cs="Arial"/>
                <w:bCs/>
                <w:sz w:val="22"/>
                <w:szCs w:val="22"/>
              </w:rPr>
              <w:t>élevée</w:t>
            </w:r>
            <w:proofErr w:type="spellEnd"/>
            <w:proofErr w:type="gramEnd"/>
          </w:p>
        </w:tc>
      </w:tr>
      <w:tr w:rsidR="00B97C10" w:rsidRPr="00D333A9" w:rsidTr="00B97C10">
        <w:tc>
          <w:tcPr>
            <w:tcW w:w="1838" w:type="dxa"/>
            <w:tcBorders>
              <w:top w:val="single" w:sz="4" w:space="0" w:color="auto"/>
              <w:left w:val="single" w:sz="4" w:space="0" w:color="auto"/>
              <w:bottom w:val="single" w:sz="4" w:space="0" w:color="auto"/>
              <w:right w:val="single" w:sz="4" w:space="0" w:color="auto"/>
            </w:tcBorders>
            <w:hideMark/>
          </w:tcPr>
          <w:p w:rsidR="00B97C10" w:rsidRPr="00D333A9" w:rsidRDefault="00B97C10">
            <w:pPr>
              <w:rPr>
                <w:rFonts w:cs="Arial"/>
                <w:bCs/>
                <w:sz w:val="22"/>
                <w:szCs w:val="22"/>
              </w:rPr>
            </w:pPr>
            <w:proofErr w:type="spellStart"/>
            <w:r w:rsidRPr="00D333A9">
              <w:rPr>
                <w:rFonts w:cs="Arial"/>
                <w:bCs/>
                <w:sz w:val="22"/>
                <w:szCs w:val="22"/>
              </w:rPr>
              <w:t>Oropharynx</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1,0</w:t>
            </w:r>
          </w:p>
        </w:tc>
        <w:tc>
          <w:tcPr>
            <w:tcW w:w="1701"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1,13</w:t>
            </w:r>
          </w:p>
          <w:p w:rsidR="00B97C10" w:rsidRPr="00D333A9" w:rsidRDefault="00B97C10">
            <w:pPr>
              <w:jc w:val="center"/>
              <w:rPr>
                <w:rFonts w:cs="Arial"/>
                <w:bCs/>
                <w:sz w:val="22"/>
                <w:szCs w:val="22"/>
              </w:rPr>
            </w:pPr>
            <w:r w:rsidRPr="00D333A9">
              <w:rPr>
                <w:rFonts w:cs="Arial"/>
                <w:bCs/>
                <w:sz w:val="22"/>
                <w:szCs w:val="22"/>
              </w:rPr>
              <w:t>(1,0</w:t>
            </w:r>
            <w:r w:rsidR="00CC656E">
              <w:rPr>
                <w:rFonts w:cs="Arial"/>
                <w:bCs/>
                <w:sz w:val="22"/>
                <w:szCs w:val="22"/>
              </w:rPr>
              <w:t xml:space="preserve"> </w:t>
            </w:r>
            <w:r w:rsidRPr="00D333A9">
              <w:rPr>
                <w:rFonts w:cs="Arial"/>
                <w:bCs/>
                <w:sz w:val="22"/>
                <w:szCs w:val="22"/>
              </w:rPr>
              <w:t>-</w:t>
            </w:r>
            <w:r w:rsidR="00CC656E">
              <w:rPr>
                <w:rFonts w:cs="Arial"/>
                <w:bCs/>
                <w:sz w:val="22"/>
                <w:szCs w:val="22"/>
              </w:rPr>
              <w:t xml:space="preserve"> </w:t>
            </w:r>
            <w:r w:rsidRPr="00D333A9">
              <w:rPr>
                <w:rFonts w:cs="Arial"/>
                <w:bCs/>
                <w:sz w:val="22"/>
                <w:szCs w:val="22"/>
              </w:rPr>
              <w:t>1,26)</w:t>
            </w:r>
          </w:p>
        </w:tc>
        <w:tc>
          <w:tcPr>
            <w:tcW w:w="1843"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1,83</w:t>
            </w:r>
          </w:p>
          <w:p w:rsidR="00B97C10" w:rsidRPr="00D333A9" w:rsidRDefault="00B97C10">
            <w:pPr>
              <w:jc w:val="center"/>
              <w:rPr>
                <w:rFonts w:cs="Arial"/>
                <w:bCs/>
                <w:sz w:val="22"/>
                <w:szCs w:val="22"/>
              </w:rPr>
            </w:pPr>
            <w:r w:rsidRPr="00D333A9">
              <w:rPr>
                <w:rFonts w:cs="Arial"/>
                <w:bCs/>
                <w:sz w:val="22"/>
                <w:szCs w:val="22"/>
              </w:rPr>
              <w:t>(1,62</w:t>
            </w:r>
            <w:r w:rsidR="00CC656E">
              <w:rPr>
                <w:rFonts w:cs="Arial"/>
                <w:bCs/>
                <w:sz w:val="22"/>
                <w:szCs w:val="22"/>
              </w:rPr>
              <w:t xml:space="preserve"> </w:t>
            </w:r>
            <w:r w:rsidRPr="00D333A9">
              <w:rPr>
                <w:rFonts w:cs="Arial"/>
                <w:bCs/>
                <w:sz w:val="22"/>
                <w:szCs w:val="22"/>
              </w:rPr>
              <w:t>-</w:t>
            </w:r>
            <w:r w:rsidR="00CC656E">
              <w:rPr>
                <w:rFonts w:cs="Arial"/>
                <w:bCs/>
                <w:sz w:val="22"/>
                <w:szCs w:val="22"/>
              </w:rPr>
              <w:t xml:space="preserve"> </w:t>
            </w:r>
            <w:r w:rsidRPr="00D333A9">
              <w:rPr>
                <w:rFonts w:cs="Arial"/>
                <w:bCs/>
                <w:sz w:val="22"/>
                <w:szCs w:val="22"/>
              </w:rPr>
              <w:t>2,07)</w:t>
            </w:r>
          </w:p>
        </w:tc>
        <w:tc>
          <w:tcPr>
            <w:tcW w:w="2053"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5,13</w:t>
            </w:r>
          </w:p>
          <w:p w:rsidR="00B97C10" w:rsidRPr="00D333A9" w:rsidRDefault="00B97C10">
            <w:pPr>
              <w:jc w:val="center"/>
              <w:rPr>
                <w:rFonts w:cs="Arial"/>
                <w:bCs/>
                <w:sz w:val="22"/>
                <w:szCs w:val="22"/>
              </w:rPr>
            </w:pPr>
            <w:r w:rsidRPr="00D333A9">
              <w:rPr>
                <w:rFonts w:cs="Arial"/>
                <w:bCs/>
                <w:sz w:val="22"/>
                <w:szCs w:val="22"/>
              </w:rPr>
              <w:t>(4,31</w:t>
            </w:r>
            <w:r w:rsidR="00CC656E">
              <w:rPr>
                <w:rFonts w:cs="Arial"/>
                <w:bCs/>
                <w:sz w:val="22"/>
                <w:szCs w:val="22"/>
              </w:rPr>
              <w:t xml:space="preserve"> </w:t>
            </w:r>
            <w:r w:rsidRPr="00D333A9">
              <w:rPr>
                <w:rFonts w:cs="Arial"/>
                <w:bCs/>
                <w:sz w:val="22"/>
                <w:szCs w:val="22"/>
              </w:rPr>
              <w:t>-</w:t>
            </w:r>
            <w:r w:rsidR="00CC656E">
              <w:rPr>
                <w:rFonts w:cs="Arial"/>
                <w:bCs/>
                <w:sz w:val="22"/>
                <w:szCs w:val="22"/>
              </w:rPr>
              <w:t xml:space="preserve"> </w:t>
            </w:r>
            <w:r w:rsidRPr="00D333A9">
              <w:rPr>
                <w:rFonts w:cs="Arial"/>
                <w:bCs/>
                <w:sz w:val="22"/>
                <w:szCs w:val="22"/>
              </w:rPr>
              <w:t>6,10)</w:t>
            </w:r>
          </w:p>
        </w:tc>
      </w:tr>
      <w:tr w:rsidR="00B97C10" w:rsidRPr="00D333A9" w:rsidTr="00B97C10">
        <w:tc>
          <w:tcPr>
            <w:tcW w:w="1838" w:type="dxa"/>
            <w:tcBorders>
              <w:top w:val="single" w:sz="4" w:space="0" w:color="auto"/>
              <w:left w:val="single" w:sz="4" w:space="0" w:color="auto"/>
              <w:bottom w:val="single" w:sz="4" w:space="0" w:color="auto"/>
              <w:right w:val="single" w:sz="4" w:space="0" w:color="auto"/>
            </w:tcBorders>
            <w:hideMark/>
          </w:tcPr>
          <w:p w:rsidR="00B97C10" w:rsidRPr="00D333A9" w:rsidRDefault="00B97C10">
            <w:pPr>
              <w:rPr>
                <w:rFonts w:cs="Arial"/>
                <w:bCs/>
                <w:sz w:val="22"/>
                <w:szCs w:val="22"/>
              </w:rPr>
            </w:pPr>
            <w:proofErr w:type="spellStart"/>
            <w:r w:rsidRPr="00D333A9">
              <w:rPr>
                <w:rFonts w:cs="Arial"/>
                <w:bCs/>
                <w:sz w:val="22"/>
                <w:szCs w:val="22"/>
              </w:rPr>
              <w:t>Œsophage</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1,0</w:t>
            </w:r>
          </w:p>
        </w:tc>
        <w:tc>
          <w:tcPr>
            <w:tcW w:w="1701"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1,26</w:t>
            </w:r>
          </w:p>
          <w:p w:rsidR="00B97C10" w:rsidRPr="00D333A9" w:rsidRDefault="00B97C10">
            <w:pPr>
              <w:jc w:val="center"/>
              <w:rPr>
                <w:rFonts w:cs="Arial"/>
                <w:bCs/>
                <w:sz w:val="22"/>
                <w:szCs w:val="22"/>
              </w:rPr>
            </w:pPr>
            <w:r w:rsidRPr="00D333A9">
              <w:rPr>
                <w:rFonts w:cs="Arial"/>
                <w:bCs/>
                <w:sz w:val="22"/>
                <w:szCs w:val="22"/>
              </w:rPr>
              <w:t>(1,06</w:t>
            </w:r>
            <w:r w:rsidR="00CC656E">
              <w:rPr>
                <w:rFonts w:cs="Arial"/>
                <w:bCs/>
                <w:sz w:val="22"/>
                <w:szCs w:val="22"/>
              </w:rPr>
              <w:t xml:space="preserve"> </w:t>
            </w:r>
            <w:r w:rsidRPr="00D333A9">
              <w:rPr>
                <w:rFonts w:cs="Arial"/>
                <w:bCs/>
                <w:sz w:val="22"/>
                <w:szCs w:val="22"/>
              </w:rPr>
              <w:t>-</w:t>
            </w:r>
            <w:r w:rsidR="00CC656E">
              <w:rPr>
                <w:rFonts w:cs="Arial"/>
                <w:bCs/>
                <w:sz w:val="22"/>
                <w:szCs w:val="22"/>
              </w:rPr>
              <w:t xml:space="preserve"> </w:t>
            </w:r>
            <w:r w:rsidRPr="00D333A9">
              <w:rPr>
                <w:rFonts w:cs="Arial"/>
                <w:bCs/>
                <w:sz w:val="22"/>
                <w:szCs w:val="22"/>
              </w:rPr>
              <w:t>1,50)</w:t>
            </w:r>
          </w:p>
        </w:tc>
        <w:tc>
          <w:tcPr>
            <w:tcW w:w="1843"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2,23</w:t>
            </w:r>
          </w:p>
          <w:p w:rsidR="00B97C10" w:rsidRPr="00D333A9" w:rsidRDefault="00B97C10">
            <w:pPr>
              <w:jc w:val="center"/>
              <w:rPr>
                <w:rFonts w:cs="Arial"/>
                <w:bCs/>
                <w:sz w:val="22"/>
                <w:szCs w:val="22"/>
              </w:rPr>
            </w:pPr>
            <w:r w:rsidRPr="00D333A9">
              <w:rPr>
                <w:rFonts w:cs="Arial"/>
                <w:bCs/>
                <w:sz w:val="22"/>
                <w:szCs w:val="22"/>
              </w:rPr>
              <w:t>(1,87</w:t>
            </w:r>
            <w:r w:rsidR="00CC656E">
              <w:rPr>
                <w:rFonts w:cs="Arial"/>
                <w:bCs/>
                <w:sz w:val="22"/>
                <w:szCs w:val="22"/>
              </w:rPr>
              <w:t xml:space="preserve"> </w:t>
            </w:r>
            <w:r w:rsidRPr="00D333A9">
              <w:rPr>
                <w:rFonts w:cs="Arial"/>
                <w:bCs/>
                <w:sz w:val="22"/>
                <w:szCs w:val="22"/>
              </w:rPr>
              <w:t>-</w:t>
            </w:r>
            <w:r w:rsidR="00CC656E">
              <w:rPr>
                <w:rFonts w:cs="Arial"/>
                <w:bCs/>
                <w:sz w:val="22"/>
                <w:szCs w:val="22"/>
              </w:rPr>
              <w:t xml:space="preserve"> </w:t>
            </w:r>
            <w:r w:rsidRPr="00D333A9">
              <w:rPr>
                <w:rFonts w:cs="Arial"/>
                <w:bCs/>
                <w:sz w:val="22"/>
                <w:szCs w:val="22"/>
              </w:rPr>
              <w:t>2,65)</w:t>
            </w:r>
          </w:p>
        </w:tc>
        <w:tc>
          <w:tcPr>
            <w:tcW w:w="2053"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4.95</w:t>
            </w:r>
          </w:p>
          <w:p w:rsidR="00B97C10" w:rsidRPr="00D333A9" w:rsidRDefault="00B97C10">
            <w:pPr>
              <w:jc w:val="center"/>
              <w:rPr>
                <w:rFonts w:cs="Arial"/>
                <w:bCs/>
                <w:sz w:val="22"/>
                <w:szCs w:val="22"/>
              </w:rPr>
            </w:pPr>
            <w:r w:rsidRPr="00D333A9">
              <w:rPr>
                <w:rFonts w:cs="Arial"/>
                <w:bCs/>
                <w:sz w:val="22"/>
                <w:szCs w:val="22"/>
              </w:rPr>
              <w:t>(3,86</w:t>
            </w:r>
            <w:r w:rsidR="00CC656E">
              <w:rPr>
                <w:rFonts w:cs="Arial"/>
                <w:bCs/>
                <w:sz w:val="22"/>
                <w:szCs w:val="22"/>
              </w:rPr>
              <w:t xml:space="preserve"> </w:t>
            </w:r>
            <w:r w:rsidRPr="00D333A9">
              <w:rPr>
                <w:rFonts w:cs="Arial"/>
                <w:bCs/>
                <w:sz w:val="22"/>
                <w:szCs w:val="22"/>
              </w:rPr>
              <w:t>-</w:t>
            </w:r>
            <w:r w:rsidR="00CC656E">
              <w:rPr>
                <w:rFonts w:cs="Arial"/>
                <w:bCs/>
                <w:sz w:val="22"/>
                <w:szCs w:val="22"/>
              </w:rPr>
              <w:t xml:space="preserve"> </w:t>
            </w:r>
            <w:r w:rsidRPr="00D333A9">
              <w:rPr>
                <w:rFonts w:cs="Arial"/>
                <w:bCs/>
                <w:sz w:val="22"/>
                <w:szCs w:val="22"/>
              </w:rPr>
              <w:t>6,34)</w:t>
            </w:r>
          </w:p>
        </w:tc>
      </w:tr>
      <w:tr w:rsidR="00B97C10" w:rsidRPr="00D333A9" w:rsidTr="00B97C10">
        <w:tc>
          <w:tcPr>
            <w:tcW w:w="1838" w:type="dxa"/>
            <w:tcBorders>
              <w:top w:val="single" w:sz="4" w:space="0" w:color="auto"/>
              <w:left w:val="single" w:sz="4" w:space="0" w:color="auto"/>
              <w:bottom w:val="single" w:sz="4" w:space="0" w:color="auto"/>
              <w:right w:val="single" w:sz="4" w:space="0" w:color="auto"/>
            </w:tcBorders>
            <w:hideMark/>
          </w:tcPr>
          <w:p w:rsidR="00B97C10" w:rsidRPr="00D333A9" w:rsidRDefault="00B97C10">
            <w:pPr>
              <w:rPr>
                <w:rFonts w:cs="Arial"/>
                <w:bCs/>
                <w:sz w:val="22"/>
                <w:szCs w:val="22"/>
              </w:rPr>
            </w:pPr>
            <w:r w:rsidRPr="00D333A9">
              <w:rPr>
                <w:rFonts w:cs="Arial"/>
                <w:bCs/>
                <w:sz w:val="22"/>
                <w:szCs w:val="22"/>
              </w:rPr>
              <w:t>Larynx</w:t>
            </w:r>
          </w:p>
        </w:tc>
        <w:tc>
          <w:tcPr>
            <w:tcW w:w="1843"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1,0</w:t>
            </w:r>
          </w:p>
        </w:tc>
        <w:tc>
          <w:tcPr>
            <w:tcW w:w="1701"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0,87</w:t>
            </w:r>
          </w:p>
          <w:p w:rsidR="00B97C10" w:rsidRPr="00D333A9" w:rsidRDefault="00B97C10">
            <w:pPr>
              <w:jc w:val="center"/>
              <w:rPr>
                <w:rFonts w:cs="Arial"/>
                <w:bCs/>
                <w:sz w:val="22"/>
                <w:szCs w:val="22"/>
              </w:rPr>
            </w:pPr>
            <w:r w:rsidRPr="00D333A9">
              <w:rPr>
                <w:rFonts w:cs="Arial"/>
                <w:bCs/>
                <w:sz w:val="22"/>
                <w:szCs w:val="22"/>
              </w:rPr>
              <w:t>(0,68</w:t>
            </w:r>
            <w:r w:rsidR="00CC656E">
              <w:rPr>
                <w:rFonts w:cs="Arial"/>
                <w:bCs/>
                <w:sz w:val="22"/>
                <w:szCs w:val="22"/>
              </w:rPr>
              <w:t xml:space="preserve"> </w:t>
            </w:r>
            <w:r w:rsidRPr="00D333A9">
              <w:rPr>
                <w:rFonts w:cs="Arial"/>
                <w:bCs/>
                <w:sz w:val="22"/>
                <w:szCs w:val="22"/>
              </w:rPr>
              <w:t>-</w:t>
            </w:r>
            <w:r w:rsidR="00CC656E">
              <w:rPr>
                <w:rFonts w:cs="Arial"/>
                <w:bCs/>
                <w:sz w:val="22"/>
                <w:szCs w:val="22"/>
              </w:rPr>
              <w:t xml:space="preserve"> </w:t>
            </w:r>
            <w:r w:rsidRPr="00D333A9">
              <w:rPr>
                <w:rFonts w:cs="Arial"/>
                <w:bCs/>
                <w:sz w:val="22"/>
                <w:szCs w:val="22"/>
              </w:rPr>
              <w:t>1,11)</w:t>
            </w:r>
          </w:p>
        </w:tc>
        <w:tc>
          <w:tcPr>
            <w:tcW w:w="1843"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1,44</w:t>
            </w:r>
          </w:p>
          <w:p w:rsidR="00B97C10" w:rsidRPr="00D333A9" w:rsidRDefault="00B97C10">
            <w:pPr>
              <w:jc w:val="center"/>
              <w:rPr>
                <w:rFonts w:cs="Arial"/>
                <w:bCs/>
                <w:sz w:val="22"/>
                <w:szCs w:val="22"/>
              </w:rPr>
            </w:pPr>
            <w:r w:rsidRPr="00D333A9">
              <w:rPr>
                <w:rFonts w:cs="Arial"/>
                <w:bCs/>
                <w:sz w:val="22"/>
                <w:szCs w:val="22"/>
              </w:rPr>
              <w:t>(1,25</w:t>
            </w:r>
            <w:r w:rsidR="00CC656E">
              <w:rPr>
                <w:rFonts w:cs="Arial"/>
                <w:bCs/>
                <w:sz w:val="22"/>
                <w:szCs w:val="22"/>
              </w:rPr>
              <w:t xml:space="preserve"> </w:t>
            </w:r>
            <w:r w:rsidRPr="00D333A9">
              <w:rPr>
                <w:rFonts w:cs="Arial"/>
                <w:bCs/>
                <w:sz w:val="22"/>
                <w:szCs w:val="22"/>
              </w:rPr>
              <w:t>-</w:t>
            </w:r>
            <w:r w:rsidR="00CC656E">
              <w:rPr>
                <w:rFonts w:cs="Arial"/>
                <w:bCs/>
                <w:sz w:val="22"/>
                <w:szCs w:val="22"/>
              </w:rPr>
              <w:t xml:space="preserve"> </w:t>
            </w:r>
            <w:r w:rsidRPr="00D333A9">
              <w:rPr>
                <w:rFonts w:cs="Arial"/>
                <w:bCs/>
                <w:sz w:val="22"/>
                <w:szCs w:val="22"/>
              </w:rPr>
              <w:t>1,66)</w:t>
            </w:r>
          </w:p>
        </w:tc>
        <w:tc>
          <w:tcPr>
            <w:tcW w:w="2053"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2,65</w:t>
            </w:r>
          </w:p>
          <w:p w:rsidR="00B97C10" w:rsidRPr="00D333A9" w:rsidRDefault="00B97C10">
            <w:pPr>
              <w:jc w:val="center"/>
              <w:rPr>
                <w:rFonts w:cs="Arial"/>
                <w:bCs/>
                <w:sz w:val="22"/>
                <w:szCs w:val="22"/>
              </w:rPr>
            </w:pPr>
            <w:r w:rsidRPr="00D333A9">
              <w:rPr>
                <w:rFonts w:cs="Arial"/>
                <w:bCs/>
                <w:sz w:val="22"/>
                <w:szCs w:val="22"/>
              </w:rPr>
              <w:t>(2,19</w:t>
            </w:r>
            <w:r w:rsidR="00CC656E">
              <w:rPr>
                <w:rFonts w:cs="Arial"/>
                <w:bCs/>
                <w:sz w:val="22"/>
                <w:szCs w:val="22"/>
              </w:rPr>
              <w:t xml:space="preserve"> </w:t>
            </w:r>
            <w:r w:rsidRPr="00D333A9">
              <w:rPr>
                <w:rFonts w:cs="Arial"/>
                <w:bCs/>
                <w:sz w:val="22"/>
                <w:szCs w:val="22"/>
              </w:rPr>
              <w:t>-</w:t>
            </w:r>
            <w:r w:rsidR="00CC656E">
              <w:rPr>
                <w:rFonts w:cs="Arial"/>
                <w:bCs/>
                <w:sz w:val="22"/>
                <w:szCs w:val="22"/>
              </w:rPr>
              <w:t xml:space="preserve"> </w:t>
            </w:r>
            <w:r w:rsidRPr="00D333A9">
              <w:rPr>
                <w:rFonts w:cs="Arial"/>
                <w:bCs/>
                <w:sz w:val="22"/>
                <w:szCs w:val="22"/>
              </w:rPr>
              <w:t>3,19)</w:t>
            </w:r>
          </w:p>
        </w:tc>
      </w:tr>
      <w:tr w:rsidR="00B97C10" w:rsidRPr="00D333A9" w:rsidTr="00B97C10">
        <w:tc>
          <w:tcPr>
            <w:tcW w:w="1838" w:type="dxa"/>
            <w:tcBorders>
              <w:top w:val="single" w:sz="4" w:space="0" w:color="auto"/>
              <w:left w:val="single" w:sz="4" w:space="0" w:color="auto"/>
              <w:bottom w:val="single" w:sz="4" w:space="0" w:color="auto"/>
              <w:right w:val="single" w:sz="4" w:space="0" w:color="auto"/>
            </w:tcBorders>
            <w:hideMark/>
          </w:tcPr>
          <w:p w:rsidR="00B97C10" w:rsidRPr="00D333A9" w:rsidRDefault="00B97C10">
            <w:pPr>
              <w:rPr>
                <w:rFonts w:cs="Arial"/>
                <w:bCs/>
                <w:sz w:val="22"/>
                <w:szCs w:val="22"/>
              </w:rPr>
            </w:pPr>
            <w:proofErr w:type="spellStart"/>
            <w:r w:rsidRPr="00D333A9">
              <w:rPr>
                <w:rFonts w:cs="Arial"/>
                <w:bCs/>
                <w:sz w:val="22"/>
                <w:szCs w:val="22"/>
              </w:rPr>
              <w:t>Foie</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1,0</w:t>
            </w:r>
          </w:p>
        </w:tc>
        <w:tc>
          <w:tcPr>
            <w:tcW w:w="1701"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1,00</w:t>
            </w:r>
          </w:p>
          <w:p w:rsidR="00B97C10" w:rsidRPr="00D333A9" w:rsidRDefault="00B97C10">
            <w:pPr>
              <w:jc w:val="center"/>
              <w:rPr>
                <w:rFonts w:cs="Arial"/>
                <w:bCs/>
                <w:sz w:val="22"/>
                <w:szCs w:val="22"/>
              </w:rPr>
            </w:pPr>
            <w:r w:rsidRPr="00D333A9">
              <w:rPr>
                <w:rFonts w:cs="Arial"/>
                <w:bCs/>
                <w:sz w:val="22"/>
                <w:szCs w:val="22"/>
              </w:rPr>
              <w:t>(0,85</w:t>
            </w:r>
            <w:r w:rsidR="00CC656E">
              <w:rPr>
                <w:rFonts w:cs="Arial"/>
                <w:bCs/>
                <w:sz w:val="22"/>
                <w:szCs w:val="22"/>
              </w:rPr>
              <w:t xml:space="preserve"> </w:t>
            </w:r>
            <w:r w:rsidRPr="00D333A9">
              <w:rPr>
                <w:rFonts w:cs="Arial"/>
                <w:bCs/>
                <w:sz w:val="22"/>
                <w:szCs w:val="22"/>
              </w:rPr>
              <w:t>-</w:t>
            </w:r>
            <w:r w:rsidR="00CC656E">
              <w:rPr>
                <w:rFonts w:cs="Arial"/>
                <w:bCs/>
                <w:sz w:val="22"/>
                <w:szCs w:val="22"/>
              </w:rPr>
              <w:t xml:space="preserve"> </w:t>
            </w:r>
            <w:r w:rsidRPr="00D333A9">
              <w:rPr>
                <w:rFonts w:cs="Arial"/>
                <w:bCs/>
                <w:sz w:val="22"/>
                <w:szCs w:val="22"/>
              </w:rPr>
              <w:t>1,18)</w:t>
            </w:r>
          </w:p>
        </w:tc>
        <w:tc>
          <w:tcPr>
            <w:tcW w:w="1843"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1,08</w:t>
            </w:r>
          </w:p>
          <w:p w:rsidR="00B97C10" w:rsidRPr="00D333A9" w:rsidRDefault="00B97C10">
            <w:pPr>
              <w:jc w:val="center"/>
              <w:rPr>
                <w:rFonts w:cs="Arial"/>
                <w:bCs/>
                <w:sz w:val="22"/>
                <w:szCs w:val="22"/>
              </w:rPr>
            </w:pPr>
            <w:r w:rsidRPr="00D333A9">
              <w:rPr>
                <w:rFonts w:cs="Arial"/>
                <w:bCs/>
                <w:sz w:val="22"/>
                <w:szCs w:val="22"/>
              </w:rPr>
              <w:t>(0,97</w:t>
            </w:r>
            <w:r w:rsidR="00CC656E">
              <w:rPr>
                <w:rFonts w:cs="Arial"/>
                <w:bCs/>
                <w:sz w:val="22"/>
                <w:szCs w:val="22"/>
              </w:rPr>
              <w:t xml:space="preserve"> </w:t>
            </w:r>
            <w:r w:rsidRPr="00D333A9">
              <w:rPr>
                <w:rFonts w:cs="Arial"/>
                <w:bCs/>
                <w:sz w:val="22"/>
                <w:szCs w:val="22"/>
              </w:rPr>
              <w:t>-</w:t>
            </w:r>
            <w:r w:rsidR="00CC656E">
              <w:rPr>
                <w:rFonts w:cs="Arial"/>
                <w:bCs/>
                <w:sz w:val="22"/>
                <w:szCs w:val="22"/>
              </w:rPr>
              <w:t xml:space="preserve"> </w:t>
            </w:r>
            <w:r w:rsidRPr="00D333A9">
              <w:rPr>
                <w:rFonts w:cs="Arial"/>
                <w:bCs/>
                <w:sz w:val="22"/>
                <w:szCs w:val="22"/>
              </w:rPr>
              <w:t>1,20)</w:t>
            </w:r>
          </w:p>
        </w:tc>
        <w:tc>
          <w:tcPr>
            <w:tcW w:w="2053"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2,07</w:t>
            </w:r>
          </w:p>
          <w:p w:rsidR="00B97C10" w:rsidRPr="00D333A9" w:rsidRDefault="00B97C10">
            <w:pPr>
              <w:jc w:val="center"/>
              <w:rPr>
                <w:rFonts w:cs="Arial"/>
                <w:bCs/>
                <w:sz w:val="22"/>
                <w:szCs w:val="22"/>
              </w:rPr>
            </w:pPr>
            <w:r w:rsidRPr="00D333A9">
              <w:rPr>
                <w:rFonts w:cs="Arial"/>
                <w:bCs/>
                <w:sz w:val="22"/>
                <w:szCs w:val="22"/>
              </w:rPr>
              <w:t>(1,66</w:t>
            </w:r>
            <w:r w:rsidR="00CC656E">
              <w:rPr>
                <w:rFonts w:cs="Arial"/>
                <w:bCs/>
                <w:sz w:val="22"/>
                <w:szCs w:val="22"/>
              </w:rPr>
              <w:t xml:space="preserve"> </w:t>
            </w:r>
            <w:r w:rsidRPr="00D333A9">
              <w:rPr>
                <w:rFonts w:cs="Arial"/>
                <w:bCs/>
                <w:sz w:val="22"/>
                <w:szCs w:val="22"/>
              </w:rPr>
              <w:t>-</w:t>
            </w:r>
            <w:r w:rsidR="00CC656E">
              <w:rPr>
                <w:rFonts w:cs="Arial"/>
                <w:bCs/>
                <w:sz w:val="22"/>
                <w:szCs w:val="22"/>
              </w:rPr>
              <w:t xml:space="preserve"> </w:t>
            </w:r>
            <w:r w:rsidRPr="00D333A9">
              <w:rPr>
                <w:rFonts w:cs="Arial"/>
                <w:bCs/>
                <w:sz w:val="22"/>
                <w:szCs w:val="22"/>
              </w:rPr>
              <w:t>2,58)</w:t>
            </w:r>
          </w:p>
        </w:tc>
      </w:tr>
      <w:tr w:rsidR="00B97C10" w:rsidRPr="00D333A9" w:rsidTr="00B97C10">
        <w:tc>
          <w:tcPr>
            <w:tcW w:w="1838" w:type="dxa"/>
            <w:tcBorders>
              <w:top w:val="single" w:sz="4" w:space="0" w:color="auto"/>
              <w:left w:val="single" w:sz="4" w:space="0" w:color="auto"/>
              <w:bottom w:val="single" w:sz="4" w:space="0" w:color="auto"/>
              <w:right w:val="single" w:sz="4" w:space="0" w:color="auto"/>
            </w:tcBorders>
            <w:hideMark/>
          </w:tcPr>
          <w:p w:rsidR="00B97C10" w:rsidRPr="00D333A9" w:rsidRDefault="00B97C10">
            <w:pPr>
              <w:rPr>
                <w:rFonts w:cs="Arial"/>
                <w:bCs/>
                <w:sz w:val="22"/>
                <w:szCs w:val="22"/>
              </w:rPr>
            </w:pPr>
            <w:r w:rsidRPr="00D333A9">
              <w:rPr>
                <w:rFonts w:cs="Arial"/>
                <w:bCs/>
                <w:sz w:val="22"/>
                <w:szCs w:val="22"/>
              </w:rPr>
              <w:t>Sein</w:t>
            </w:r>
          </w:p>
        </w:tc>
        <w:tc>
          <w:tcPr>
            <w:tcW w:w="1843"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1,0</w:t>
            </w:r>
          </w:p>
        </w:tc>
        <w:tc>
          <w:tcPr>
            <w:tcW w:w="1701"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1,04</w:t>
            </w:r>
          </w:p>
          <w:p w:rsidR="00B97C10" w:rsidRPr="00D333A9" w:rsidRDefault="00B97C10">
            <w:pPr>
              <w:jc w:val="center"/>
              <w:rPr>
                <w:rFonts w:cs="Arial"/>
                <w:bCs/>
                <w:sz w:val="22"/>
                <w:szCs w:val="22"/>
              </w:rPr>
            </w:pPr>
            <w:r w:rsidRPr="00D333A9">
              <w:rPr>
                <w:rFonts w:cs="Arial"/>
                <w:bCs/>
                <w:sz w:val="22"/>
                <w:szCs w:val="22"/>
              </w:rPr>
              <w:t>(1,01</w:t>
            </w:r>
            <w:r w:rsidR="00CC656E">
              <w:rPr>
                <w:rFonts w:cs="Arial"/>
                <w:bCs/>
                <w:sz w:val="22"/>
                <w:szCs w:val="22"/>
              </w:rPr>
              <w:t xml:space="preserve"> </w:t>
            </w:r>
            <w:r w:rsidRPr="00D333A9">
              <w:rPr>
                <w:rFonts w:cs="Arial"/>
                <w:bCs/>
                <w:sz w:val="22"/>
                <w:szCs w:val="22"/>
              </w:rPr>
              <w:t>-</w:t>
            </w:r>
            <w:r w:rsidR="00CC656E">
              <w:rPr>
                <w:rFonts w:cs="Arial"/>
                <w:bCs/>
                <w:sz w:val="22"/>
                <w:szCs w:val="22"/>
              </w:rPr>
              <w:t xml:space="preserve"> </w:t>
            </w:r>
            <w:r w:rsidRPr="00D333A9">
              <w:rPr>
                <w:rFonts w:cs="Arial"/>
                <w:bCs/>
                <w:sz w:val="22"/>
                <w:szCs w:val="22"/>
              </w:rPr>
              <w:t>1,07)</w:t>
            </w:r>
          </w:p>
        </w:tc>
        <w:tc>
          <w:tcPr>
            <w:tcW w:w="1843"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1,23</w:t>
            </w:r>
          </w:p>
          <w:p w:rsidR="00B97C10" w:rsidRPr="00D333A9" w:rsidRDefault="00B97C10">
            <w:pPr>
              <w:jc w:val="center"/>
              <w:rPr>
                <w:rFonts w:cs="Arial"/>
                <w:bCs/>
                <w:sz w:val="22"/>
                <w:szCs w:val="22"/>
              </w:rPr>
            </w:pPr>
            <w:r w:rsidRPr="00D333A9">
              <w:rPr>
                <w:rFonts w:cs="Arial"/>
                <w:bCs/>
                <w:sz w:val="22"/>
                <w:szCs w:val="22"/>
              </w:rPr>
              <w:t>(1,19</w:t>
            </w:r>
            <w:r w:rsidR="00CC656E">
              <w:rPr>
                <w:rFonts w:cs="Arial"/>
                <w:bCs/>
                <w:sz w:val="22"/>
                <w:szCs w:val="22"/>
              </w:rPr>
              <w:t xml:space="preserve"> </w:t>
            </w:r>
            <w:r w:rsidRPr="00D333A9">
              <w:rPr>
                <w:rFonts w:cs="Arial"/>
                <w:bCs/>
                <w:sz w:val="22"/>
                <w:szCs w:val="22"/>
              </w:rPr>
              <w:t>-</w:t>
            </w:r>
            <w:r w:rsidR="00CC656E">
              <w:rPr>
                <w:rFonts w:cs="Arial"/>
                <w:bCs/>
                <w:sz w:val="22"/>
                <w:szCs w:val="22"/>
              </w:rPr>
              <w:t xml:space="preserve"> </w:t>
            </w:r>
            <w:r w:rsidRPr="00D333A9">
              <w:rPr>
                <w:rFonts w:cs="Arial"/>
                <w:bCs/>
                <w:sz w:val="22"/>
                <w:szCs w:val="22"/>
              </w:rPr>
              <w:t>1,28)</w:t>
            </w:r>
          </w:p>
        </w:tc>
        <w:tc>
          <w:tcPr>
            <w:tcW w:w="2053"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1,61</w:t>
            </w:r>
          </w:p>
          <w:p w:rsidR="00B97C10" w:rsidRPr="00D333A9" w:rsidRDefault="00B97C10">
            <w:pPr>
              <w:jc w:val="center"/>
              <w:rPr>
                <w:rFonts w:cs="Arial"/>
                <w:bCs/>
                <w:sz w:val="22"/>
                <w:szCs w:val="22"/>
              </w:rPr>
            </w:pPr>
            <w:r w:rsidRPr="00D333A9">
              <w:rPr>
                <w:rFonts w:cs="Arial"/>
                <w:bCs/>
                <w:sz w:val="22"/>
                <w:szCs w:val="22"/>
              </w:rPr>
              <w:t>(1,33</w:t>
            </w:r>
            <w:r w:rsidR="00CC656E">
              <w:rPr>
                <w:rFonts w:cs="Arial"/>
                <w:bCs/>
                <w:sz w:val="22"/>
                <w:szCs w:val="22"/>
              </w:rPr>
              <w:t xml:space="preserve"> </w:t>
            </w:r>
            <w:r w:rsidRPr="00D333A9">
              <w:rPr>
                <w:rFonts w:cs="Arial"/>
                <w:bCs/>
                <w:sz w:val="22"/>
                <w:szCs w:val="22"/>
              </w:rPr>
              <w:t>-</w:t>
            </w:r>
            <w:r w:rsidR="00CC656E">
              <w:rPr>
                <w:rFonts w:cs="Arial"/>
                <w:bCs/>
                <w:sz w:val="22"/>
                <w:szCs w:val="22"/>
              </w:rPr>
              <w:t xml:space="preserve"> </w:t>
            </w:r>
            <w:r w:rsidRPr="00D333A9">
              <w:rPr>
                <w:rFonts w:cs="Arial"/>
                <w:bCs/>
                <w:sz w:val="22"/>
                <w:szCs w:val="22"/>
              </w:rPr>
              <w:t>1,94)</w:t>
            </w:r>
          </w:p>
        </w:tc>
      </w:tr>
      <w:tr w:rsidR="00B97C10" w:rsidRPr="00D333A9" w:rsidTr="00B97C10">
        <w:tc>
          <w:tcPr>
            <w:tcW w:w="1838" w:type="dxa"/>
            <w:tcBorders>
              <w:top w:val="single" w:sz="4" w:space="0" w:color="auto"/>
              <w:left w:val="single" w:sz="4" w:space="0" w:color="auto"/>
              <w:bottom w:val="single" w:sz="4" w:space="0" w:color="auto"/>
              <w:right w:val="single" w:sz="4" w:space="0" w:color="auto"/>
            </w:tcBorders>
            <w:hideMark/>
          </w:tcPr>
          <w:p w:rsidR="00B97C10" w:rsidRPr="00D333A9" w:rsidRDefault="00B97C10">
            <w:pPr>
              <w:rPr>
                <w:rFonts w:cs="Arial"/>
                <w:bCs/>
                <w:sz w:val="22"/>
                <w:szCs w:val="22"/>
              </w:rPr>
            </w:pPr>
            <w:proofErr w:type="spellStart"/>
            <w:r w:rsidRPr="00D333A9">
              <w:rPr>
                <w:rFonts w:cs="Arial"/>
                <w:bCs/>
                <w:sz w:val="22"/>
                <w:szCs w:val="22"/>
              </w:rPr>
              <w:t>Côlon</w:t>
            </w:r>
            <w:proofErr w:type="spellEnd"/>
            <w:r w:rsidRPr="00D333A9">
              <w:rPr>
                <w:rFonts w:cs="Arial"/>
                <w:bCs/>
                <w:sz w:val="22"/>
                <w:szCs w:val="22"/>
              </w:rPr>
              <w:t>-rectum</w:t>
            </w:r>
          </w:p>
        </w:tc>
        <w:tc>
          <w:tcPr>
            <w:tcW w:w="1843"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1,0</w:t>
            </w:r>
          </w:p>
        </w:tc>
        <w:tc>
          <w:tcPr>
            <w:tcW w:w="1701"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0,99</w:t>
            </w:r>
          </w:p>
          <w:p w:rsidR="00B97C10" w:rsidRPr="00D333A9" w:rsidRDefault="00B97C10">
            <w:pPr>
              <w:jc w:val="center"/>
              <w:rPr>
                <w:rFonts w:cs="Arial"/>
                <w:bCs/>
                <w:sz w:val="22"/>
                <w:szCs w:val="22"/>
              </w:rPr>
            </w:pPr>
            <w:r w:rsidRPr="00D333A9">
              <w:rPr>
                <w:rFonts w:cs="Arial"/>
                <w:bCs/>
                <w:sz w:val="22"/>
                <w:szCs w:val="22"/>
              </w:rPr>
              <w:t>(0,95</w:t>
            </w:r>
            <w:r w:rsidR="00CC656E">
              <w:rPr>
                <w:rFonts w:cs="Arial"/>
                <w:bCs/>
                <w:sz w:val="22"/>
                <w:szCs w:val="22"/>
              </w:rPr>
              <w:t xml:space="preserve"> </w:t>
            </w:r>
            <w:r w:rsidRPr="00D333A9">
              <w:rPr>
                <w:rFonts w:cs="Arial"/>
                <w:bCs/>
                <w:sz w:val="22"/>
                <w:szCs w:val="22"/>
              </w:rPr>
              <w:t>-</w:t>
            </w:r>
            <w:r w:rsidR="00CC656E">
              <w:rPr>
                <w:rFonts w:cs="Arial"/>
                <w:bCs/>
                <w:sz w:val="22"/>
                <w:szCs w:val="22"/>
              </w:rPr>
              <w:t xml:space="preserve"> </w:t>
            </w:r>
            <w:r w:rsidRPr="00D333A9">
              <w:rPr>
                <w:rFonts w:cs="Arial"/>
                <w:bCs/>
                <w:sz w:val="22"/>
                <w:szCs w:val="22"/>
              </w:rPr>
              <w:t>1,04)</w:t>
            </w:r>
          </w:p>
        </w:tc>
        <w:tc>
          <w:tcPr>
            <w:tcW w:w="1843"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1,17</w:t>
            </w:r>
          </w:p>
          <w:p w:rsidR="00B97C10" w:rsidRPr="00D333A9" w:rsidRDefault="00B97C10">
            <w:pPr>
              <w:jc w:val="center"/>
              <w:rPr>
                <w:rFonts w:cs="Arial"/>
                <w:bCs/>
                <w:sz w:val="22"/>
                <w:szCs w:val="22"/>
              </w:rPr>
            </w:pPr>
            <w:r w:rsidRPr="00D333A9">
              <w:rPr>
                <w:rFonts w:cs="Arial"/>
                <w:bCs/>
                <w:sz w:val="22"/>
                <w:szCs w:val="22"/>
              </w:rPr>
              <w:t>(1,11</w:t>
            </w:r>
            <w:r w:rsidR="00CC656E">
              <w:rPr>
                <w:rFonts w:cs="Arial"/>
                <w:bCs/>
                <w:sz w:val="22"/>
                <w:szCs w:val="22"/>
              </w:rPr>
              <w:t xml:space="preserve"> </w:t>
            </w:r>
            <w:r w:rsidRPr="00D333A9">
              <w:rPr>
                <w:rFonts w:cs="Arial"/>
                <w:bCs/>
                <w:sz w:val="22"/>
                <w:szCs w:val="22"/>
              </w:rPr>
              <w:t>-</w:t>
            </w:r>
            <w:r w:rsidR="00CC656E">
              <w:rPr>
                <w:rFonts w:cs="Arial"/>
                <w:bCs/>
                <w:sz w:val="22"/>
                <w:szCs w:val="22"/>
              </w:rPr>
              <w:t xml:space="preserve"> </w:t>
            </w:r>
            <w:r w:rsidRPr="00D333A9">
              <w:rPr>
                <w:rFonts w:cs="Arial"/>
                <w:bCs/>
                <w:sz w:val="22"/>
                <w:szCs w:val="22"/>
              </w:rPr>
              <w:t>1,24)</w:t>
            </w:r>
          </w:p>
        </w:tc>
        <w:tc>
          <w:tcPr>
            <w:tcW w:w="2053" w:type="dxa"/>
            <w:tcBorders>
              <w:top w:val="single" w:sz="4" w:space="0" w:color="auto"/>
              <w:left w:val="single" w:sz="4" w:space="0" w:color="auto"/>
              <w:bottom w:val="single" w:sz="4" w:space="0" w:color="auto"/>
              <w:right w:val="single" w:sz="4" w:space="0" w:color="auto"/>
            </w:tcBorders>
            <w:hideMark/>
          </w:tcPr>
          <w:p w:rsidR="00B97C10" w:rsidRPr="00D333A9" w:rsidRDefault="00B97C10">
            <w:pPr>
              <w:jc w:val="center"/>
              <w:rPr>
                <w:rFonts w:cs="Arial"/>
                <w:bCs/>
                <w:sz w:val="22"/>
                <w:szCs w:val="22"/>
              </w:rPr>
            </w:pPr>
            <w:r w:rsidRPr="00D333A9">
              <w:rPr>
                <w:rFonts w:cs="Arial"/>
                <w:bCs/>
                <w:sz w:val="22"/>
                <w:szCs w:val="22"/>
              </w:rPr>
              <w:t>1,44</w:t>
            </w:r>
          </w:p>
          <w:p w:rsidR="00B97C10" w:rsidRPr="00D333A9" w:rsidRDefault="00B97C10">
            <w:pPr>
              <w:jc w:val="center"/>
              <w:rPr>
                <w:rFonts w:cs="Arial"/>
                <w:bCs/>
                <w:sz w:val="22"/>
                <w:szCs w:val="22"/>
              </w:rPr>
            </w:pPr>
            <w:r w:rsidRPr="00D333A9">
              <w:rPr>
                <w:rFonts w:cs="Arial"/>
                <w:bCs/>
                <w:sz w:val="22"/>
                <w:szCs w:val="22"/>
              </w:rPr>
              <w:t>(1,25</w:t>
            </w:r>
            <w:r w:rsidR="00CC656E">
              <w:rPr>
                <w:rFonts w:cs="Arial"/>
                <w:bCs/>
                <w:sz w:val="22"/>
                <w:szCs w:val="22"/>
              </w:rPr>
              <w:t xml:space="preserve"> </w:t>
            </w:r>
            <w:r w:rsidRPr="00D333A9">
              <w:rPr>
                <w:rFonts w:cs="Arial"/>
                <w:bCs/>
                <w:sz w:val="22"/>
                <w:szCs w:val="22"/>
              </w:rPr>
              <w:t>-</w:t>
            </w:r>
            <w:r w:rsidR="00CC656E">
              <w:rPr>
                <w:rFonts w:cs="Arial"/>
                <w:bCs/>
                <w:sz w:val="22"/>
                <w:szCs w:val="22"/>
              </w:rPr>
              <w:t xml:space="preserve"> </w:t>
            </w:r>
            <w:r w:rsidRPr="00D333A9">
              <w:rPr>
                <w:rFonts w:cs="Arial"/>
                <w:bCs/>
                <w:sz w:val="22"/>
                <w:szCs w:val="22"/>
              </w:rPr>
              <w:t>1,65)</w:t>
            </w:r>
          </w:p>
        </w:tc>
      </w:tr>
    </w:tbl>
    <w:p w:rsidR="00B97C10" w:rsidRPr="00D333A9" w:rsidRDefault="00B97C10" w:rsidP="00B97C10">
      <w:pPr>
        <w:rPr>
          <w:rFonts w:cs="Arial"/>
          <w:bCs/>
          <w:lang w:val="fr-FR"/>
        </w:rPr>
      </w:pPr>
      <w:r w:rsidRPr="00D333A9">
        <w:t xml:space="preserve"> </w:t>
      </w:r>
    </w:p>
    <w:p w:rsidR="00B97C10" w:rsidRPr="00D333A9" w:rsidRDefault="00B97C10" w:rsidP="00B97C10">
      <w:pPr>
        <w:rPr>
          <w:lang w:val="fr-BE"/>
        </w:rPr>
      </w:pPr>
      <w:r w:rsidRPr="00D333A9">
        <w:rPr>
          <w:lang w:val="fr-BE"/>
        </w:rPr>
        <w:t>Les associations entre la consommation d'alcool et ces formes de cancer sont généralement continues et pratiquement linéaires (</w:t>
      </w:r>
      <w:proofErr w:type="spellStart"/>
      <w:r w:rsidRPr="00D333A9">
        <w:rPr>
          <w:lang w:val="fr-BE"/>
        </w:rPr>
        <w:t>Rehm</w:t>
      </w:r>
      <w:proofErr w:type="spellEnd"/>
      <w:r w:rsidRPr="00D333A9">
        <w:rPr>
          <w:lang w:val="fr-BE"/>
        </w:rPr>
        <w:t xml:space="preserve"> et al., 2010 ; Baan et al., 2007) ; en d'autres termes, plus la consommation d'alcool est élevée, plus le risque est élevé ; il apparaît ne pas exister de seuil sous lequel il n'y aurait aucun risque ; même la consommation d'une seule boisson alcoolisée par jour s'accompagne d'une augmentation du risque (</w:t>
      </w:r>
      <w:proofErr w:type="spellStart"/>
      <w:r w:rsidRPr="00D333A9">
        <w:rPr>
          <w:lang w:val="fr-BE"/>
        </w:rPr>
        <w:t>Hamajima</w:t>
      </w:r>
      <w:proofErr w:type="spellEnd"/>
      <w:r w:rsidRPr="00D333A9">
        <w:rPr>
          <w:lang w:val="fr-BE"/>
        </w:rPr>
        <w:t xml:space="preserve"> et al., 2002). Ces conclusions sont confirmées dans un rapport récent de l'</w:t>
      </w:r>
      <w:r w:rsidRPr="00D333A9">
        <w:rPr>
          <w:i/>
          <w:lang w:val="fr-BE"/>
        </w:rPr>
        <w:t xml:space="preserve">American Society of </w:t>
      </w:r>
      <w:proofErr w:type="spellStart"/>
      <w:r w:rsidRPr="00D333A9">
        <w:rPr>
          <w:i/>
          <w:lang w:val="fr-BE"/>
        </w:rPr>
        <w:t>Clinical</w:t>
      </w:r>
      <w:proofErr w:type="spellEnd"/>
      <w:r w:rsidRPr="00D333A9">
        <w:rPr>
          <w:i/>
          <w:lang w:val="fr-BE"/>
        </w:rPr>
        <w:t xml:space="preserve"> </w:t>
      </w:r>
      <w:proofErr w:type="spellStart"/>
      <w:r w:rsidRPr="00D333A9">
        <w:rPr>
          <w:i/>
          <w:lang w:val="fr-BE"/>
        </w:rPr>
        <w:t>Oncology</w:t>
      </w:r>
      <w:proofErr w:type="spellEnd"/>
      <w:r w:rsidRPr="00D333A9">
        <w:rPr>
          <w:i/>
          <w:lang w:val="fr-BE"/>
        </w:rPr>
        <w:t xml:space="preserve"> </w:t>
      </w:r>
      <w:r w:rsidRPr="00D333A9">
        <w:rPr>
          <w:lang w:val="fr-BE"/>
        </w:rPr>
        <w:t>(</w:t>
      </w:r>
      <w:proofErr w:type="spellStart"/>
      <w:r w:rsidRPr="00D333A9">
        <w:rPr>
          <w:lang w:val="fr-BE"/>
        </w:rPr>
        <w:t>Loconte</w:t>
      </w:r>
      <w:proofErr w:type="spellEnd"/>
      <w:r w:rsidRPr="00D333A9">
        <w:rPr>
          <w:lang w:val="fr-BE"/>
        </w:rPr>
        <w:t xml:space="preserve"> et al., 2017). </w:t>
      </w:r>
    </w:p>
    <w:p w:rsidR="00B97C10" w:rsidRPr="00D333A9" w:rsidRDefault="00B97C10" w:rsidP="00B97C10">
      <w:pPr>
        <w:rPr>
          <w:rFonts w:cs="Arial"/>
          <w:bCs/>
          <w:lang w:val="fr-BE"/>
        </w:rPr>
      </w:pPr>
    </w:p>
    <w:p w:rsidR="00B97C10" w:rsidRPr="00D333A9" w:rsidRDefault="00B97C10" w:rsidP="00B97C10">
      <w:pPr>
        <w:rPr>
          <w:rFonts w:cs="Arial"/>
          <w:bCs/>
          <w:lang w:val="fr-BE"/>
        </w:rPr>
      </w:pPr>
      <w:r w:rsidRPr="00D333A9">
        <w:rPr>
          <w:lang w:val="fr-BE"/>
        </w:rPr>
        <w:t>En 2007, le Fonds mondial de recherche contre le cancer</w:t>
      </w:r>
      <w:r w:rsidR="00C74BDE" w:rsidRPr="00D333A9">
        <w:rPr>
          <w:lang w:val="fr-BE"/>
        </w:rPr>
        <w:t xml:space="preserve"> et l</w:t>
      </w:r>
      <w:r w:rsidR="00253A85" w:rsidRPr="00D333A9">
        <w:rPr>
          <w:lang w:val="fr-BE"/>
        </w:rPr>
        <w:t>’</w:t>
      </w:r>
      <w:r w:rsidRPr="00D333A9">
        <w:rPr>
          <w:i/>
          <w:lang w:val="fr-BE"/>
        </w:rPr>
        <w:t xml:space="preserve">American Institute for Cancer </w:t>
      </w:r>
      <w:proofErr w:type="spellStart"/>
      <w:r w:rsidRPr="00D333A9">
        <w:rPr>
          <w:i/>
          <w:lang w:val="fr-BE"/>
        </w:rPr>
        <w:t>Research</w:t>
      </w:r>
      <w:proofErr w:type="spellEnd"/>
      <w:r w:rsidRPr="00D333A9">
        <w:rPr>
          <w:i/>
          <w:lang w:val="fr-BE"/>
        </w:rPr>
        <w:t xml:space="preserve"> </w:t>
      </w:r>
      <w:r w:rsidRPr="00D333A9">
        <w:rPr>
          <w:lang w:val="fr-BE"/>
        </w:rPr>
        <w:t xml:space="preserve">(AICR) </w:t>
      </w:r>
      <w:r w:rsidR="00C74BDE" w:rsidRPr="00D333A9">
        <w:rPr>
          <w:lang w:val="fr-BE"/>
        </w:rPr>
        <w:t>ont</w:t>
      </w:r>
      <w:r w:rsidRPr="00D333A9">
        <w:rPr>
          <w:lang w:val="fr-BE"/>
        </w:rPr>
        <w:t xml:space="preserve"> formulé les recommandations suivantes (</w:t>
      </w:r>
      <w:proofErr w:type="spellStart"/>
      <w:r w:rsidRPr="00D333A9">
        <w:rPr>
          <w:lang w:val="fr-BE"/>
        </w:rPr>
        <w:t>van't</w:t>
      </w:r>
      <w:proofErr w:type="spellEnd"/>
      <w:r w:rsidRPr="00D333A9">
        <w:rPr>
          <w:lang w:val="fr-BE"/>
        </w:rPr>
        <w:t xml:space="preserve"> </w:t>
      </w:r>
      <w:proofErr w:type="spellStart"/>
      <w:r w:rsidRPr="00D333A9">
        <w:rPr>
          <w:lang w:val="fr-BE"/>
        </w:rPr>
        <w:t>Veer</w:t>
      </w:r>
      <w:proofErr w:type="spellEnd"/>
      <w:r w:rsidRPr="00D333A9">
        <w:rPr>
          <w:lang w:val="fr-BE"/>
        </w:rPr>
        <w:t xml:space="preserve"> &amp; </w:t>
      </w:r>
      <w:proofErr w:type="spellStart"/>
      <w:r w:rsidRPr="00D333A9">
        <w:rPr>
          <w:lang w:val="fr-BE"/>
        </w:rPr>
        <w:t>Kampman</w:t>
      </w:r>
      <w:proofErr w:type="spellEnd"/>
      <w:r w:rsidRPr="00D333A9">
        <w:rPr>
          <w:lang w:val="fr-BE"/>
        </w:rPr>
        <w:t>, 2007) :</w:t>
      </w:r>
    </w:p>
    <w:p w:rsidR="00B97C10" w:rsidRPr="00D333A9" w:rsidRDefault="00B97C10" w:rsidP="00B97C10">
      <w:pPr>
        <w:pStyle w:val="Paragraphedeliste"/>
        <w:numPr>
          <w:ilvl w:val="0"/>
          <w:numId w:val="38"/>
        </w:numPr>
        <w:rPr>
          <w:rFonts w:cs="Arial"/>
          <w:bCs/>
          <w:lang w:val="fr-BE"/>
        </w:rPr>
      </w:pPr>
      <w:r w:rsidRPr="00D333A9">
        <w:rPr>
          <w:lang w:val="fr-BE"/>
        </w:rPr>
        <w:t>« En cas de consommation d'alcool, se limiter à une boisson par jour pour les femmes et à deux pour les hommes » ;</w:t>
      </w:r>
    </w:p>
    <w:p w:rsidR="00B97C10" w:rsidRPr="00D333A9" w:rsidRDefault="00B97C10" w:rsidP="00B97C10">
      <w:pPr>
        <w:pStyle w:val="Paragraphedeliste"/>
        <w:numPr>
          <w:ilvl w:val="0"/>
          <w:numId w:val="38"/>
        </w:numPr>
        <w:rPr>
          <w:rFonts w:cs="Arial"/>
          <w:bCs/>
          <w:lang w:val="fr-BE"/>
        </w:rPr>
      </w:pPr>
      <w:r w:rsidRPr="00D333A9">
        <w:rPr>
          <w:lang w:val="fr-BE"/>
        </w:rPr>
        <w:t>« Pour réduire le risque de cancer, il est préférable de ne pas boire du tout d'alcool ».</w:t>
      </w:r>
    </w:p>
    <w:p w:rsidR="00B97C10" w:rsidRPr="00D333A9" w:rsidRDefault="00B97C10" w:rsidP="00B97C10">
      <w:pPr>
        <w:pStyle w:val="Paragraphedeliste"/>
        <w:rPr>
          <w:rFonts w:cs="Arial"/>
          <w:bCs/>
          <w:lang w:val="fr-BE"/>
        </w:rPr>
      </w:pPr>
    </w:p>
    <w:p w:rsidR="00B97C10" w:rsidRPr="00D333A9" w:rsidRDefault="00B97C10" w:rsidP="00B97C10">
      <w:pPr>
        <w:rPr>
          <w:lang w:val="fr-BE"/>
        </w:rPr>
      </w:pPr>
      <w:r w:rsidRPr="00D333A9">
        <w:rPr>
          <w:lang w:val="fr-BE"/>
        </w:rPr>
        <w:t>Le lien de causalité entre la consommation d'alcool et les maladies infectieuses est incertain. Une étude récente a apporté plus de clarté sur ce point et il est désormais généralement admis que la consommation d'alcool possède un lien avec la tuberculose, le HIV/SIDA, d'autres IST et la pneumonie (</w:t>
      </w:r>
      <w:proofErr w:type="spellStart"/>
      <w:r w:rsidRPr="00D333A9">
        <w:rPr>
          <w:lang w:val="fr-BE"/>
        </w:rPr>
        <w:t>Rehm</w:t>
      </w:r>
      <w:proofErr w:type="spellEnd"/>
      <w:r w:rsidRPr="00D333A9">
        <w:rPr>
          <w:lang w:val="fr-BE"/>
        </w:rPr>
        <w:t xml:space="preserve"> et al., 2009 ; </w:t>
      </w:r>
      <w:proofErr w:type="spellStart"/>
      <w:r w:rsidRPr="00D333A9">
        <w:rPr>
          <w:lang w:val="fr-BE"/>
        </w:rPr>
        <w:t>Shuper</w:t>
      </w:r>
      <w:proofErr w:type="spellEnd"/>
      <w:r w:rsidRPr="00D333A9">
        <w:rPr>
          <w:lang w:val="fr-BE"/>
        </w:rPr>
        <w:t xml:space="preserve"> et al., 2010). Ces liens sont clairs en cas de consommation d'alcool élevée ; toutefois, l'existence d'un seuil sous lequel il n'existerait aucun risque est encore incertaine (Romeo et al., 2010). </w:t>
      </w:r>
    </w:p>
    <w:p w:rsidR="00B97C10" w:rsidRPr="00D333A9" w:rsidRDefault="00B97C10" w:rsidP="00B97C10">
      <w:pPr>
        <w:rPr>
          <w:rFonts w:cs="Arial"/>
          <w:bCs/>
          <w:lang w:val="fr-BE"/>
        </w:rPr>
      </w:pPr>
    </w:p>
    <w:p w:rsidR="00B97C10" w:rsidRPr="00D333A9" w:rsidRDefault="00B97C10" w:rsidP="00B97C10">
      <w:pPr>
        <w:rPr>
          <w:lang w:val="fr-BE"/>
        </w:rPr>
      </w:pPr>
      <w:r w:rsidRPr="00D333A9">
        <w:rPr>
          <w:lang w:val="fr-BE"/>
        </w:rPr>
        <w:t xml:space="preserve">La consommation d'alcool possède également un lien avec d'autres problèmes de santé tels que la gastrite, les maladies hépatiques et la pancréatite, entre autres ; ce lien est d'autant plus marqué que la consommation d'alcool est élevée (Irving et al., 2009 ; </w:t>
      </w:r>
      <w:proofErr w:type="spellStart"/>
      <w:r w:rsidRPr="00D333A9">
        <w:rPr>
          <w:lang w:val="fr-BE"/>
        </w:rPr>
        <w:t>Rehm</w:t>
      </w:r>
      <w:proofErr w:type="spellEnd"/>
      <w:r w:rsidRPr="00D333A9">
        <w:rPr>
          <w:lang w:val="fr-BE"/>
        </w:rPr>
        <w:t xml:space="preserve"> et al., 2010). </w:t>
      </w:r>
    </w:p>
    <w:p w:rsidR="002E4B21" w:rsidRPr="00D333A9" w:rsidRDefault="002E4B21" w:rsidP="006F024E">
      <w:pPr>
        <w:rPr>
          <w:rFonts w:cs="Arial"/>
          <w:bCs/>
          <w:lang w:val="fr-BE"/>
        </w:rPr>
      </w:pPr>
    </w:p>
    <w:p w:rsidR="00CC4449" w:rsidRPr="00D333A9" w:rsidRDefault="00CC4449" w:rsidP="006F024E">
      <w:pPr>
        <w:rPr>
          <w:rFonts w:cs="Arial"/>
          <w:bCs/>
          <w:lang w:val="fr-BE"/>
        </w:rPr>
      </w:pPr>
      <w:r w:rsidRPr="00D333A9">
        <w:rPr>
          <w:rFonts w:cs="Arial"/>
          <w:bCs/>
          <w:lang w:val="fr-BE"/>
        </w:rPr>
        <w:t xml:space="preserve">L'alcool agit directement sur le cerveau et le système nerveux. Les utilisateurs problématiques ont souvent des troubles </w:t>
      </w:r>
      <w:r w:rsidR="003E3589" w:rsidRPr="00D333A9">
        <w:rPr>
          <w:rFonts w:cs="Arial"/>
          <w:bCs/>
          <w:lang w:val="fr-BE"/>
        </w:rPr>
        <w:t>neurocognitifs</w:t>
      </w:r>
      <w:r w:rsidR="007F1AAF" w:rsidRPr="00D333A9">
        <w:rPr>
          <w:rFonts w:cs="Arial"/>
          <w:bCs/>
          <w:lang w:val="fr-BE"/>
        </w:rPr>
        <w:t xml:space="preserve">, dont des troubles </w:t>
      </w:r>
      <w:proofErr w:type="spellStart"/>
      <w:r w:rsidR="007F1AAF" w:rsidRPr="004558A2">
        <w:rPr>
          <w:lang w:val="fr-BE"/>
        </w:rPr>
        <w:t>dysexécutifs</w:t>
      </w:r>
      <w:proofErr w:type="spellEnd"/>
      <w:r w:rsidR="007F1AAF" w:rsidRPr="004558A2">
        <w:rPr>
          <w:rFonts w:cs="Arial"/>
          <w:bCs/>
          <w:lang w:val="fr-BE"/>
        </w:rPr>
        <w:t xml:space="preserve"> </w:t>
      </w:r>
      <w:r w:rsidR="00CC656E">
        <w:rPr>
          <w:rFonts w:cs="Arial"/>
          <w:bCs/>
          <w:lang w:val="fr-BE"/>
        </w:rPr>
        <w:t>et/</w:t>
      </w:r>
      <w:r w:rsidR="007F1AAF" w:rsidRPr="004558A2">
        <w:rPr>
          <w:rFonts w:cs="Arial"/>
          <w:bCs/>
          <w:lang w:val="fr-BE"/>
        </w:rPr>
        <w:t xml:space="preserve">ou des troubles </w:t>
      </w:r>
      <w:r w:rsidRPr="004558A2">
        <w:rPr>
          <w:rFonts w:cs="Arial"/>
          <w:bCs/>
          <w:lang w:val="fr-BE"/>
        </w:rPr>
        <w:t>de la concentration et de la mémoire. C’est surtout la mémoire à court terme qui est affectée. A long terme l’impact de l’alcool sur le système nerveux se retrouve dans diverses maladies telles que la polyneuropathie (troubles nerveux périphériques</w:t>
      </w:r>
      <w:r w:rsidR="0075118A" w:rsidRPr="004558A2">
        <w:rPr>
          <w:rFonts w:cs="Arial"/>
          <w:bCs/>
          <w:lang w:val="fr-BE"/>
        </w:rPr>
        <w:t>) et</w:t>
      </w:r>
      <w:r w:rsidRPr="004558A2">
        <w:rPr>
          <w:rFonts w:cs="Arial"/>
          <w:bCs/>
          <w:lang w:val="fr-BE"/>
        </w:rPr>
        <w:t xml:space="preserve"> le</w:t>
      </w:r>
      <w:r w:rsidR="0075118A" w:rsidRPr="004558A2">
        <w:rPr>
          <w:rFonts w:cs="Arial"/>
          <w:bCs/>
          <w:lang w:val="fr-BE"/>
        </w:rPr>
        <w:t xml:space="preserve"> syndrome de Wernicke-Korsakoff. Le </w:t>
      </w:r>
      <w:r w:rsidRPr="004558A2">
        <w:rPr>
          <w:rFonts w:cs="Arial"/>
          <w:bCs/>
          <w:lang w:val="fr-BE"/>
        </w:rPr>
        <w:t xml:space="preserve">delirium tremens </w:t>
      </w:r>
      <w:r w:rsidR="0075118A" w:rsidRPr="004558A2">
        <w:rPr>
          <w:rFonts w:cs="Arial"/>
          <w:bCs/>
          <w:lang w:val="fr-BE"/>
        </w:rPr>
        <w:t xml:space="preserve">est une complication du sevrage </w:t>
      </w:r>
      <w:r w:rsidRPr="004558A2">
        <w:rPr>
          <w:rFonts w:cs="Arial"/>
          <w:bCs/>
          <w:lang w:val="fr-BE"/>
        </w:rPr>
        <w:t>(Suzanne</w:t>
      </w:r>
      <w:r w:rsidRPr="00D333A9">
        <w:rPr>
          <w:rFonts w:cs="Arial"/>
          <w:bCs/>
          <w:lang w:val="fr-BE"/>
        </w:rPr>
        <w:t xml:space="preserve"> et </w:t>
      </w:r>
      <w:proofErr w:type="spellStart"/>
      <w:r w:rsidRPr="00D333A9">
        <w:rPr>
          <w:rFonts w:cs="Arial"/>
          <w:bCs/>
          <w:lang w:val="fr-BE"/>
        </w:rPr>
        <w:t>Kril</w:t>
      </w:r>
      <w:proofErr w:type="spellEnd"/>
      <w:r w:rsidRPr="00D333A9">
        <w:rPr>
          <w:rFonts w:cs="Arial"/>
          <w:bCs/>
          <w:lang w:val="fr-BE"/>
        </w:rPr>
        <w:t>, 2014).</w:t>
      </w:r>
    </w:p>
    <w:p w:rsidR="00253A85" w:rsidRPr="00D333A9" w:rsidRDefault="00253A85" w:rsidP="00253A85">
      <w:pPr>
        <w:rPr>
          <w:rFonts w:cs="Arial"/>
          <w:bCs/>
          <w:lang w:val="fr-BE"/>
        </w:rPr>
      </w:pPr>
      <w:r w:rsidRPr="00D333A9">
        <w:rPr>
          <w:rFonts w:cs="Arial"/>
          <w:bCs/>
          <w:lang w:val="fr-BE"/>
        </w:rPr>
        <w:t>Une étude prospective franco-canadienne (</w:t>
      </w:r>
      <w:proofErr w:type="spellStart"/>
      <w:r w:rsidRPr="00D333A9">
        <w:rPr>
          <w:rFonts w:cs="Arial"/>
          <w:bCs/>
          <w:lang w:val="fr-BE"/>
        </w:rPr>
        <w:t>Schwarzinger</w:t>
      </w:r>
      <w:proofErr w:type="spellEnd"/>
      <w:r w:rsidRPr="00D333A9">
        <w:rPr>
          <w:rFonts w:cs="Arial"/>
          <w:bCs/>
          <w:lang w:val="fr-BE"/>
        </w:rPr>
        <w:t xml:space="preserve"> et al., 2018) montre aussi que les troubles liés à l’alcool sont un facteur de risque majeur pour tous les types de démence, et particulièrement la démence précoce. </w:t>
      </w:r>
    </w:p>
    <w:p w:rsidR="00CC656E" w:rsidRDefault="002E4B21" w:rsidP="002E4B21">
      <w:pPr>
        <w:ind w:right="2"/>
        <w:rPr>
          <w:lang w:val="fr-BE"/>
        </w:rPr>
      </w:pPr>
      <w:r w:rsidRPr="00D333A9">
        <w:rPr>
          <w:lang w:val="fr-BE"/>
        </w:rPr>
        <w:t>Des publications récentes ont par ailleurs montré que l</w:t>
      </w:r>
      <w:r w:rsidRPr="00D333A9">
        <w:rPr>
          <w:rFonts w:cs="Arial"/>
          <w:lang w:val="fr-BE"/>
        </w:rPr>
        <w:t xml:space="preserve">es modalités de comportement à risque chez les jeunes, comme le </w:t>
      </w:r>
      <w:proofErr w:type="spellStart"/>
      <w:r w:rsidRPr="00D333A9">
        <w:rPr>
          <w:rFonts w:cs="Arial"/>
          <w:i/>
          <w:lang w:val="fr-BE"/>
        </w:rPr>
        <w:t>binge</w:t>
      </w:r>
      <w:proofErr w:type="spellEnd"/>
      <w:r w:rsidRPr="00D333A9">
        <w:rPr>
          <w:rFonts w:cs="Arial"/>
          <w:i/>
          <w:lang w:val="fr-BE"/>
        </w:rPr>
        <w:t xml:space="preserve"> </w:t>
      </w:r>
      <w:proofErr w:type="spellStart"/>
      <w:r w:rsidRPr="00D333A9">
        <w:rPr>
          <w:rFonts w:cs="Arial"/>
          <w:i/>
          <w:lang w:val="fr-BE"/>
        </w:rPr>
        <w:t>drinking</w:t>
      </w:r>
      <w:proofErr w:type="spellEnd"/>
      <w:r w:rsidR="00B22DDA">
        <w:rPr>
          <w:rFonts w:cs="Arial"/>
          <w:lang w:val="fr-BE"/>
        </w:rPr>
        <w:t xml:space="preserve"> (qui vise une ébriété rapide), </w:t>
      </w:r>
      <w:r w:rsidRPr="00D333A9">
        <w:rPr>
          <w:rFonts w:cs="Arial"/>
          <w:lang w:val="fr-BE"/>
        </w:rPr>
        <w:t xml:space="preserve">entrainent des conséquences cérébrales durables (Campanella et al., 2013 ; Petit et al., 2013 ; </w:t>
      </w:r>
      <w:proofErr w:type="spellStart"/>
      <w:r w:rsidRPr="00D333A9">
        <w:rPr>
          <w:rFonts w:cs="Arial"/>
          <w:lang w:val="fr-BE"/>
        </w:rPr>
        <w:t>Maurage</w:t>
      </w:r>
      <w:proofErr w:type="spellEnd"/>
      <w:r w:rsidRPr="00D333A9">
        <w:rPr>
          <w:rFonts w:cs="Arial"/>
          <w:lang w:val="fr-BE"/>
        </w:rPr>
        <w:t xml:space="preserve"> et al., 201</w:t>
      </w:r>
      <w:r w:rsidRPr="00D333A9">
        <w:rPr>
          <w:rFonts w:cs="Arial"/>
          <w:bCs/>
          <w:lang w:val="fr-BE"/>
        </w:rPr>
        <w:t>4).</w:t>
      </w:r>
      <w:r w:rsidR="00B301AF" w:rsidRPr="00D333A9">
        <w:rPr>
          <w:rFonts w:cs="Arial"/>
          <w:bCs/>
          <w:lang w:val="fr-BE"/>
        </w:rPr>
        <w:t xml:space="preserve"> </w:t>
      </w:r>
      <w:r w:rsidR="003E3589" w:rsidRPr="00D333A9">
        <w:rPr>
          <w:rFonts w:cs="Arial"/>
          <w:bCs/>
          <w:lang w:val="fr-BE"/>
        </w:rPr>
        <w:t xml:space="preserve">Pour définir le </w:t>
      </w:r>
      <w:proofErr w:type="spellStart"/>
      <w:r w:rsidR="003E3589" w:rsidRPr="00D333A9">
        <w:rPr>
          <w:rFonts w:cs="Arial"/>
          <w:bCs/>
          <w:i/>
          <w:lang w:val="fr-BE"/>
        </w:rPr>
        <w:t>binge</w:t>
      </w:r>
      <w:proofErr w:type="spellEnd"/>
      <w:r w:rsidR="003E3589" w:rsidRPr="00D333A9">
        <w:rPr>
          <w:rFonts w:cs="Arial"/>
          <w:bCs/>
          <w:i/>
          <w:lang w:val="fr-BE"/>
        </w:rPr>
        <w:t xml:space="preserve"> </w:t>
      </w:r>
      <w:proofErr w:type="spellStart"/>
      <w:r w:rsidR="003E3589" w:rsidRPr="00D333A9">
        <w:rPr>
          <w:rFonts w:cs="Arial"/>
          <w:bCs/>
          <w:i/>
          <w:lang w:val="fr-BE"/>
        </w:rPr>
        <w:t>drinking</w:t>
      </w:r>
      <w:proofErr w:type="spellEnd"/>
      <w:r w:rsidR="003E3589" w:rsidRPr="00D333A9">
        <w:rPr>
          <w:rFonts w:cs="Arial"/>
          <w:bCs/>
          <w:lang w:val="fr-BE"/>
        </w:rPr>
        <w:t xml:space="preserve">, </w:t>
      </w:r>
      <w:proofErr w:type="spellStart"/>
      <w:r w:rsidR="00C259DA" w:rsidRPr="00D333A9">
        <w:rPr>
          <w:rFonts w:cs="Arial"/>
          <w:bCs/>
          <w:lang w:val="fr-BE"/>
        </w:rPr>
        <w:t>Naassila</w:t>
      </w:r>
      <w:proofErr w:type="spellEnd"/>
      <w:r w:rsidR="00C259DA" w:rsidRPr="00D333A9">
        <w:rPr>
          <w:rFonts w:cs="Arial"/>
          <w:bCs/>
          <w:lang w:val="fr-BE"/>
        </w:rPr>
        <w:t xml:space="preserve"> (2018) propose d’utiliser la définition de</w:t>
      </w:r>
      <w:r w:rsidR="00C259DA" w:rsidRPr="00D333A9">
        <w:rPr>
          <w:lang w:val="fr-BE"/>
        </w:rPr>
        <w:t xml:space="preserve"> l’Institut américain sur l’abus d’alcool et l’alcoolisme (NIAAA), c’est-à-dire la consommation d’au moins 7 verres chez les </w:t>
      </w:r>
      <w:r w:rsidR="00D733D5" w:rsidRPr="00D333A9">
        <w:rPr>
          <w:lang w:val="fr-BE"/>
        </w:rPr>
        <w:t>hommes et 6 verres chez les femmes</w:t>
      </w:r>
      <w:r w:rsidR="00C259DA" w:rsidRPr="00D333A9">
        <w:rPr>
          <w:lang w:val="fr-BE"/>
        </w:rPr>
        <w:t xml:space="preserve"> en moins de deux heure</w:t>
      </w:r>
      <w:r w:rsidR="00654001" w:rsidRPr="00D333A9">
        <w:rPr>
          <w:lang w:val="fr-BE"/>
        </w:rPr>
        <w:t>s</w:t>
      </w:r>
      <w:r w:rsidR="00C259DA" w:rsidRPr="00D333A9">
        <w:rPr>
          <w:lang w:val="fr-BE"/>
        </w:rPr>
        <w:t xml:space="preserve"> et avec une alcoolémie atteinte d’au moins 0,8g/l.</w:t>
      </w:r>
      <w:r w:rsidR="00B22DDA">
        <w:rPr>
          <w:lang w:val="fr-BE"/>
        </w:rPr>
        <w:t xml:space="preserve"> Cette </w:t>
      </w:r>
      <w:r w:rsidR="00B22DDA" w:rsidRPr="00B22DDA">
        <w:rPr>
          <w:lang w:val="fr-BE"/>
        </w:rPr>
        <w:t xml:space="preserve">conversion n'a </w:t>
      </w:r>
      <w:r w:rsidR="00B22DDA">
        <w:rPr>
          <w:lang w:val="fr-BE"/>
        </w:rPr>
        <w:t>cependant pas pris</w:t>
      </w:r>
      <w:r w:rsidR="00B22DDA" w:rsidRPr="00B22DDA">
        <w:rPr>
          <w:lang w:val="fr-BE"/>
        </w:rPr>
        <w:t xml:space="preserve"> en compte </w:t>
      </w:r>
      <w:r w:rsidR="00B22DDA">
        <w:rPr>
          <w:lang w:val="fr-BE"/>
        </w:rPr>
        <w:t xml:space="preserve">le taux d’alcoolémie de </w:t>
      </w:r>
      <w:r w:rsidR="00B22DDA" w:rsidRPr="00B22DDA">
        <w:rPr>
          <w:lang w:val="fr-BE"/>
        </w:rPr>
        <w:t>0,8 ‰</w:t>
      </w:r>
      <w:r w:rsidR="00B22DDA">
        <w:rPr>
          <w:lang w:val="fr-BE"/>
        </w:rPr>
        <w:t xml:space="preserve">. Si on tient compte de ce taux, on parlera plutôt de </w:t>
      </w:r>
    </w:p>
    <w:p w:rsidR="002E4B21" w:rsidRPr="00D333A9" w:rsidRDefault="00B22DDA" w:rsidP="002E4B21">
      <w:pPr>
        <w:ind w:right="2"/>
        <w:rPr>
          <w:rFonts w:cs="Arial"/>
          <w:lang w:val="fr-BE"/>
        </w:rPr>
      </w:pPr>
      <w:r w:rsidRPr="00B22DDA">
        <w:rPr>
          <w:lang w:val="fr-BE"/>
        </w:rPr>
        <w:t xml:space="preserve">4 verres pour les femmes et de 6 </w:t>
      </w:r>
      <w:r>
        <w:rPr>
          <w:lang w:val="fr-BE"/>
        </w:rPr>
        <w:t xml:space="preserve">verres </w:t>
      </w:r>
      <w:r w:rsidRPr="00B22DDA">
        <w:rPr>
          <w:lang w:val="fr-BE"/>
        </w:rPr>
        <w:t>pour les hommes.</w:t>
      </w:r>
      <w:r>
        <w:rPr>
          <w:lang w:val="fr-BE"/>
        </w:rPr>
        <w:t xml:space="preserve"> </w:t>
      </w:r>
    </w:p>
    <w:p w:rsidR="006F024E" w:rsidRPr="00D333A9" w:rsidRDefault="006F024E" w:rsidP="00415370">
      <w:pPr>
        <w:ind w:right="2"/>
        <w:rPr>
          <w:lang w:val="fr-BE"/>
        </w:rPr>
      </w:pPr>
    </w:p>
    <w:p w:rsidR="00B97C10" w:rsidRPr="00D333A9" w:rsidRDefault="00B97C10" w:rsidP="00B97C10">
      <w:pPr>
        <w:rPr>
          <w:rFonts w:cs="Arial"/>
          <w:bCs/>
          <w:lang w:val="fr-BE"/>
        </w:rPr>
      </w:pPr>
      <w:r w:rsidRPr="00D333A9">
        <w:rPr>
          <w:lang w:val="fr-BE"/>
        </w:rPr>
        <w:t xml:space="preserve">Un rapport (Xi et al., 2017) sur la relation entre la consommation d'alcool et la mortalité totale, la mortalité cardiovasculaire et la mortalité due au cancer parmi la population adulte aux États-Unis est paru en 2017. Les données reposent sur des observations prospectives au sein des groupes étudiés qui ont pris part aux enquêtes NHANES de 1997 à 2009 (n = 333.247) et sur plus de 2,7 millions de personnes-années de suivi. </w:t>
      </w:r>
    </w:p>
    <w:p w:rsidR="00B97C10" w:rsidRPr="00D333A9" w:rsidRDefault="00B97C10" w:rsidP="00B97C10">
      <w:pPr>
        <w:rPr>
          <w:rFonts w:cs="Arial"/>
          <w:bCs/>
          <w:lang w:val="fr-BE"/>
        </w:rPr>
      </w:pPr>
      <w:r w:rsidRPr="00D333A9">
        <w:rPr>
          <w:lang w:val="fr-BE"/>
        </w:rPr>
        <w:t xml:space="preserve">La référence est le groupe de personnes qui n'a pratiquement jamais consommé d'alcool (&lt; 12 consommations sur toute leur vie). Par rapport à ce groupe, les personnes qui consomment peu d'alcool (&lt; 3 verres/semaine) présentaient une mortalité totale plus faible (Hazard Ratio (HR) : 0,79 ; intervalle de confiance (IC) à 95 % : 0,76-0,82), une mortalité cardiovasculaire plus faible (HR 0,74 ; IC 95 % : 0,69-0,80) et une mortalité due au cancer plus faible (HR : 0,86 ; IC 95 % : 0,80-0,93), indépendamment de l'âge, du sexe, de la race, de la scolarisation, de l'état civil, de l'indice de masse corporel, de l'activité physique, du tabagisme, de la prévalence de l'hypertension, des maladies cardiovasculaires, des </w:t>
      </w:r>
      <w:r w:rsidR="00E63922" w:rsidRPr="00D333A9">
        <w:rPr>
          <w:lang w:val="fr-BE"/>
        </w:rPr>
        <w:t>AVC</w:t>
      </w:r>
      <w:r w:rsidRPr="00D333A9">
        <w:rPr>
          <w:lang w:val="fr-BE"/>
        </w:rPr>
        <w:t>, du cancer et du diabète.</w:t>
      </w:r>
    </w:p>
    <w:p w:rsidR="00B97C10" w:rsidRPr="00D333A9" w:rsidRDefault="00B97C10" w:rsidP="00B97C10">
      <w:pPr>
        <w:rPr>
          <w:rFonts w:cs="Arial"/>
          <w:bCs/>
          <w:lang w:val="fr-BE"/>
        </w:rPr>
      </w:pPr>
      <w:r w:rsidRPr="00D333A9">
        <w:rPr>
          <w:lang w:val="fr-BE"/>
        </w:rPr>
        <w:t>Une consommation modérée d'alcool (&gt; 3 ≤ 14 verres/semaine pour les hommes et &gt; 3 ≤ 7 verres/semaine pour les femmes) s'accompagnait également d'une mortalité totale plus faible (HR 0,78 ; IC 95 % : 0,74-0,82), d'une mortalité cardiovasculaire plus faible (HR 0,71 ; IC 95 % : 0,64-0,78) et d'une mortalité due au cancer plus faible (HR : 0,87 ; IC 95 % : 0,80-0,96), indépendamment des variables précitées.</w:t>
      </w:r>
    </w:p>
    <w:p w:rsidR="00C259DA" w:rsidRPr="00D333A9" w:rsidRDefault="00B97C10" w:rsidP="00B97C10">
      <w:pPr>
        <w:rPr>
          <w:lang w:val="fr-BE"/>
        </w:rPr>
      </w:pPr>
      <w:r w:rsidRPr="00D333A9">
        <w:rPr>
          <w:lang w:val="fr-BE"/>
        </w:rPr>
        <w:t>En revanche, une mortalité totale plus élevée (HR : 1,11 ; IC 95 % : 1,04-1,19) et une mortalité due au cancer plus élevée (HR 1,27 ; IC 95 % : 1,13-1,42) ont été observées chez les adultes ayant une consommation d'alcool élevée (&gt; 14 verres/semaine pour les hommes ; &gt; 7 verres/semaine pour les femmes), indépendamment des variables précitées. Le « </w:t>
      </w:r>
      <w:proofErr w:type="spellStart"/>
      <w:r w:rsidRPr="00D333A9">
        <w:rPr>
          <w:i/>
          <w:lang w:val="fr-BE"/>
        </w:rPr>
        <w:t>binge</w:t>
      </w:r>
      <w:proofErr w:type="spellEnd"/>
      <w:r w:rsidRPr="00D333A9">
        <w:rPr>
          <w:i/>
          <w:lang w:val="fr-BE"/>
        </w:rPr>
        <w:t xml:space="preserve"> </w:t>
      </w:r>
      <w:proofErr w:type="spellStart"/>
      <w:r w:rsidRPr="00D333A9">
        <w:rPr>
          <w:i/>
          <w:lang w:val="fr-BE"/>
        </w:rPr>
        <w:t>drinking</w:t>
      </w:r>
      <w:proofErr w:type="spellEnd"/>
      <w:r w:rsidRPr="00D333A9">
        <w:rPr>
          <w:i/>
          <w:lang w:val="fr-BE"/>
        </w:rPr>
        <w:t> </w:t>
      </w:r>
      <w:r w:rsidRPr="00D333A9">
        <w:rPr>
          <w:lang w:val="fr-BE"/>
        </w:rPr>
        <w:t>» s'accompagnait également d'une mortalité totale et d'une mortalité due au cancer accrues.</w:t>
      </w:r>
      <w:r w:rsidR="00D733D5" w:rsidRPr="00D333A9">
        <w:rPr>
          <w:lang w:val="fr-BE"/>
        </w:rPr>
        <w:t xml:space="preserve"> </w:t>
      </w:r>
    </w:p>
    <w:p w:rsidR="00D733D5" w:rsidRPr="00D333A9" w:rsidRDefault="00D733D5" w:rsidP="00B97C10">
      <w:pPr>
        <w:rPr>
          <w:lang w:val="fr-BE"/>
        </w:rPr>
      </w:pPr>
    </w:p>
    <w:p w:rsidR="00C259DA" w:rsidRPr="00D333A9" w:rsidRDefault="00C259DA" w:rsidP="00B97C10">
      <w:pPr>
        <w:rPr>
          <w:lang w:val="fr-BE"/>
        </w:rPr>
      </w:pPr>
      <w:r w:rsidRPr="004558A2">
        <w:rPr>
          <w:lang w:val="fr-BE"/>
        </w:rPr>
        <w:t>Récemment</w:t>
      </w:r>
      <w:r w:rsidR="0075118A" w:rsidRPr="004558A2">
        <w:rPr>
          <w:lang w:val="fr-BE"/>
        </w:rPr>
        <w:t xml:space="preserve"> (Wood et al., 2018)</w:t>
      </w:r>
      <w:r w:rsidRPr="004558A2">
        <w:rPr>
          <w:lang w:val="fr-BE"/>
        </w:rPr>
        <w:t>, une étude prospective à grande échelle</w:t>
      </w:r>
      <w:r w:rsidR="0075118A" w:rsidRPr="004558A2">
        <w:rPr>
          <w:lang w:val="fr-BE"/>
        </w:rPr>
        <w:t xml:space="preserve"> (600.000 patients ; 19 pays ; 83 centres)</w:t>
      </w:r>
      <w:r w:rsidRPr="004558A2">
        <w:rPr>
          <w:lang w:val="fr-BE"/>
        </w:rPr>
        <w:t xml:space="preserve"> sur l'usage</w:t>
      </w:r>
      <w:r w:rsidRPr="00D333A9">
        <w:rPr>
          <w:lang w:val="fr-BE"/>
        </w:rPr>
        <w:t xml:space="preserve"> de l'alcool, la mortalité totale et les maladies cardiovasculaires a permis de conclure que les normes sur la consommation d'alcool à faible risque doivent être inférieures à ce qui est actuellement proposé dans de nombreuses recommandations. Dans cette étude, le risque le plus faible de mortalité totale chez les consommateurs d'alcool était &lt;</w:t>
      </w:r>
      <w:r w:rsidR="002A66DE">
        <w:rPr>
          <w:lang w:val="fr-BE"/>
        </w:rPr>
        <w:t xml:space="preserve"> </w:t>
      </w:r>
      <w:r w:rsidRPr="00D333A9">
        <w:rPr>
          <w:lang w:val="fr-BE"/>
        </w:rPr>
        <w:t>100 g d'alcool par semaine</w:t>
      </w:r>
      <w:r w:rsidR="0075118A">
        <w:rPr>
          <w:lang w:val="fr-BE"/>
        </w:rPr>
        <w:t>.</w:t>
      </w:r>
      <w:r w:rsidR="0064779A" w:rsidRPr="0064779A">
        <w:rPr>
          <w:lang w:val="fr-BE"/>
        </w:rPr>
        <w:t xml:space="preserve"> </w:t>
      </w:r>
      <w:r w:rsidR="0064779A" w:rsidRPr="004558A2">
        <w:rPr>
          <w:lang w:val="fr-BE"/>
        </w:rPr>
        <w:t>Le seul bénéfice cardiovasculaire de la consommation d’alcool mis en évidence dans cette étude est la prévention de l’infarctus du myocarde ; hormis ce bénéfice la morbidité augmente avec la consommation</w:t>
      </w:r>
      <w:r w:rsidR="0075118A" w:rsidRPr="004558A2">
        <w:rPr>
          <w:lang w:val="fr-BE"/>
        </w:rPr>
        <w:t xml:space="preserve">. </w:t>
      </w:r>
    </w:p>
    <w:p w:rsidR="00A03CF4" w:rsidRPr="00D333A9" w:rsidRDefault="00A03CF4" w:rsidP="00415370">
      <w:pPr>
        <w:ind w:right="2"/>
        <w:rPr>
          <w:rFonts w:cs="Arial"/>
          <w:lang w:val="fr-BE"/>
        </w:rPr>
      </w:pPr>
    </w:p>
    <w:p w:rsidR="00A03CF4" w:rsidRPr="00D333A9" w:rsidRDefault="00A03CF4" w:rsidP="00A03CF4">
      <w:pPr>
        <w:pStyle w:val="Titre4"/>
      </w:pPr>
      <w:r w:rsidRPr="00D333A9">
        <w:t xml:space="preserve"> Santé mentale</w:t>
      </w:r>
    </w:p>
    <w:p w:rsidR="00341BFF" w:rsidRPr="00D333A9" w:rsidRDefault="0075118A" w:rsidP="00CC4449">
      <w:pPr>
        <w:rPr>
          <w:rFonts w:cs="Arial"/>
          <w:bCs/>
          <w:lang w:val="fr-BE"/>
        </w:rPr>
      </w:pPr>
      <w:r w:rsidRPr="0075118A">
        <w:rPr>
          <w:rFonts w:cs="Arial"/>
          <w:bCs/>
          <w:lang w:val="fr-BE"/>
        </w:rPr>
        <w:t xml:space="preserve">Une consommation problématique d’alcool est dénommée dans le Manuel diagnostique et statistique des troubles mentaux (DSM) comme un « trouble de l’usage de l’alcool ». Les conséquences de ce trouble de l’usage de l’alcool en matière de santé mentale sont liées à une </w:t>
      </w:r>
      <w:r w:rsidR="00145ECF" w:rsidRPr="0075118A">
        <w:rPr>
          <w:rFonts w:cs="Arial"/>
          <w:bCs/>
          <w:lang w:val="fr-BE"/>
        </w:rPr>
        <w:t>maladie</w:t>
      </w:r>
      <w:r w:rsidR="00145ECF" w:rsidRPr="00D333A9">
        <w:rPr>
          <w:rFonts w:cs="Arial"/>
          <w:bCs/>
          <w:lang w:val="fr-BE"/>
        </w:rPr>
        <w:t xml:space="preserve"> cérébrale </w:t>
      </w:r>
      <w:r w:rsidR="00341BFF" w:rsidRPr="00D333A9">
        <w:rPr>
          <w:rFonts w:cs="Arial"/>
          <w:bCs/>
          <w:lang w:val="fr-BE"/>
        </w:rPr>
        <w:t xml:space="preserve">chronique caractérisée par une consommation compulsive d'alcool, une perte de contrôle </w:t>
      </w:r>
      <w:r w:rsidR="00145ECF" w:rsidRPr="00D333A9">
        <w:rPr>
          <w:rFonts w:cs="Arial"/>
          <w:bCs/>
          <w:lang w:val="fr-BE"/>
        </w:rPr>
        <w:t>de</w:t>
      </w:r>
      <w:r w:rsidR="00341BFF" w:rsidRPr="00D333A9">
        <w:rPr>
          <w:rFonts w:cs="Arial"/>
          <w:bCs/>
          <w:lang w:val="fr-BE"/>
        </w:rPr>
        <w:t xml:space="preserve"> la consommation d'alcool et un état émotionnel négatif en l'absence d'utilisation. Pour être diagnostiqué </w:t>
      </w:r>
      <w:r w:rsidR="00145ECF" w:rsidRPr="00D333A9">
        <w:rPr>
          <w:rFonts w:cs="Arial"/>
          <w:bCs/>
          <w:lang w:val="fr-BE"/>
        </w:rPr>
        <w:t>comme tel</w:t>
      </w:r>
      <w:r w:rsidR="00341BFF" w:rsidRPr="00D333A9">
        <w:rPr>
          <w:rFonts w:cs="Arial"/>
          <w:bCs/>
          <w:lang w:val="fr-BE"/>
        </w:rPr>
        <w:t xml:space="preserve">, les individus doivent répondre à certains critères décrits dans le </w:t>
      </w:r>
      <w:r>
        <w:rPr>
          <w:rFonts w:cs="Arial"/>
          <w:bCs/>
          <w:lang w:val="fr-BE"/>
        </w:rPr>
        <w:t>DSM</w:t>
      </w:r>
      <w:r w:rsidR="00341BFF" w:rsidRPr="00D333A9">
        <w:rPr>
          <w:rFonts w:cs="Arial"/>
          <w:bCs/>
          <w:lang w:val="fr-BE"/>
        </w:rPr>
        <w:t>. En vertu du DSM-5, la version actuelle du DSM, toute personne répondant à deux des 11 critères au cours de la même période de</w:t>
      </w:r>
      <w:r>
        <w:rPr>
          <w:rFonts w:cs="Arial"/>
          <w:bCs/>
          <w:lang w:val="fr-BE"/>
        </w:rPr>
        <w:t>s</w:t>
      </w:r>
      <w:r w:rsidR="00341BFF" w:rsidRPr="00D333A9">
        <w:rPr>
          <w:rFonts w:cs="Arial"/>
          <w:bCs/>
          <w:lang w:val="fr-BE"/>
        </w:rPr>
        <w:t xml:space="preserve"> 12 </w:t>
      </w:r>
      <w:r>
        <w:rPr>
          <w:rFonts w:cs="Arial"/>
          <w:bCs/>
          <w:lang w:val="fr-BE"/>
        </w:rPr>
        <w:t xml:space="preserve">derniers </w:t>
      </w:r>
      <w:r w:rsidR="00341BFF" w:rsidRPr="00D333A9">
        <w:rPr>
          <w:rFonts w:cs="Arial"/>
          <w:bCs/>
          <w:lang w:val="fr-BE"/>
        </w:rPr>
        <w:t>mois reçoit un diagnostic d</w:t>
      </w:r>
      <w:r w:rsidR="00145ECF" w:rsidRPr="00D333A9">
        <w:rPr>
          <w:rFonts w:cs="Arial"/>
          <w:bCs/>
          <w:lang w:val="fr-BE"/>
        </w:rPr>
        <w:t>e trouble de l’usage d’alcool</w:t>
      </w:r>
      <w:r w:rsidR="00341BFF" w:rsidRPr="00D333A9">
        <w:rPr>
          <w:rFonts w:cs="Arial"/>
          <w:bCs/>
          <w:lang w:val="fr-BE"/>
        </w:rPr>
        <w:t xml:space="preserve">. La sévérité </w:t>
      </w:r>
      <w:r w:rsidR="00145ECF" w:rsidRPr="00D333A9">
        <w:rPr>
          <w:rFonts w:cs="Arial"/>
          <w:bCs/>
          <w:lang w:val="fr-BE"/>
        </w:rPr>
        <w:t>(légère, modérée ou sévère)</w:t>
      </w:r>
      <w:r w:rsidR="00341BFF" w:rsidRPr="00D333A9">
        <w:rPr>
          <w:rFonts w:cs="Arial"/>
          <w:bCs/>
          <w:lang w:val="fr-BE"/>
        </w:rPr>
        <w:t xml:space="preserve"> est basée sur le nombre de critères rencontrés (respectivement 2-3, 4-5,&gt; 6) (NIAAA, 2017).</w:t>
      </w:r>
    </w:p>
    <w:p w:rsidR="00CC4449" w:rsidRPr="00D333A9" w:rsidRDefault="00CC4449" w:rsidP="00804D21">
      <w:pPr>
        <w:rPr>
          <w:rFonts w:cs="Arial"/>
          <w:bCs/>
          <w:lang w:val="fr-BE"/>
        </w:rPr>
      </w:pPr>
    </w:p>
    <w:p w:rsidR="00145ECF" w:rsidRPr="00D333A9" w:rsidRDefault="00145ECF" w:rsidP="00804D21">
      <w:pPr>
        <w:rPr>
          <w:rFonts w:cs="Arial"/>
          <w:bCs/>
          <w:lang w:val="fr-BE"/>
        </w:rPr>
      </w:pPr>
      <w:r w:rsidRPr="00D333A9">
        <w:rPr>
          <w:rFonts w:cs="Arial"/>
          <w:bCs/>
          <w:lang w:val="fr-BE"/>
        </w:rPr>
        <w:t xml:space="preserve">L’ICD-10 parle de dépendance à l’alcool quand trois critères ou plus ont été présents en même temps durant l’année écoulée. </w:t>
      </w:r>
    </w:p>
    <w:p w:rsidR="00F45D36" w:rsidRPr="00D333A9" w:rsidRDefault="00F45D36" w:rsidP="00415370">
      <w:pPr>
        <w:ind w:right="2"/>
        <w:rPr>
          <w:rFonts w:cs="Arial"/>
          <w:lang w:val="fr-BE"/>
        </w:rPr>
      </w:pPr>
    </w:p>
    <w:p w:rsidR="00A03CF4" w:rsidRPr="00D333A9" w:rsidRDefault="00421FA4" w:rsidP="00A03CF4">
      <w:pPr>
        <w:pStyle w:val="Titre4"/>
      </w:pPr>
      <w:r w:rsidRPr="00D333A9">
        <w:t>Sécurité et aspects socio-économiques</w:t>
      </w:r>
    </w:p>
    <w:p w:rsidR="008F45CF" w:rsidRPr="00D333A9" w:rsidRDefault="008F45CF" w:rsidP="008F45CF">
      <w:pPr>
        <w:rPr>
          <w:rFonts w:cs="Arial"/>
          <w:bCs/>
          <w:lang w:val="fr-BE"/>
        </w:rPr>
      </w:pPr>
      <w:r w:rsidRPr="00D333A9">
        <w:rPr>
          <w:lang w:val="fr-BE"/>
        </w:rPr>
        <w:t>La consommation d'alcool est aussi la cause de nombreux accidents sur la route, à domicile et au travail, ainsi que de divers problèmes familiaux et sociaux (</w:t>
      </w:r>
      <w:proofErr w:type="spellStart"/>
      <w:r w:rsidRPr="00D333A9">
        <w:rPr>
          <w:lang w:val="fr-BE"/>
        </w:rPr>
        <w:t>Rehm</w:t>
      </w:r>
      <w:proofErr w:type="spellEnd"/>
      <w:r w:rsidRPr="00D333A9">
        <w:rPr>
          <w:lang w:val="fr-BE"/>
        </w:rPr>
        <w:t xml:space="preserve"> et al., 2009). </w:t>
      </w:r>
    </w:p>
    <w:p w:rsidR="0094590D" w:rsidRPr="00D333A9" w:rsidRDefault="0094590D" w:rsidP="00F45D36">
      <w:pPr>
        <w:rPr>
          <w:rFonts w:ascii="Verdana" w:hAnsi="Verdana"/>
          <w:sz w:val="20"/>
          <w:szCs w:val="20"/>
          <w:lang w:val="fr-BE"/>
        </w:rPr>
      </w:pPr>
    </w:p>
    <w:p w:rsidR="008B30DE" w:rsidRPr="00D333A9" w:rsidRDefault="008B30DE" w:rsidP="008B30DE">
      <w:pPr>
        <w:rPr>
          <w:rFonts w:cs="Arial"/>
          <w:lang w:val="fr-BE"/>
        </w:rPr>
      </w:pPr>
      <w:r w:rsidRPr="00D333A9">
        <w:rPr>
          <w:rFonts w:cs="Arial"/>
          <w:lang w:val="fr-BE"/>
        </w:rPr>
        <w:t xml:space="preserve">La </w:t>
      </w:r>
      <w:r w:rsidRPr="00D333A9">
        <w:rPr>
          <w:rFonts w:cs="Arial"/>
          <w:bCs/>
          <w:lang w:val="fr-BE"/>
        </w:rPr>
        <w:t xml:space="preserve">consommation </w:t>
      </w:r>
      <w:r w:rsidRPr="00D333A9">
        <w:rPr>
          <w:rFonts w:cs="Arial"/>
          <w:lang w:val="fr-BE"/>
        </w:rPr>
        <w:t xml:space="preserve">problématique d’alcool peut </w:t>
      </w:r>
      <w:r w:rsidR="008F45CF" w:rsidRPr="00D333A9">
        <w:rPr>
          <w:rFonts w:cs="Arial"/>
          <w:lang w:val="fr-BE"/>
        </w:rPr>
        <w:t xml:space="preserve">en effet </w:t>
      </w:r>
      <w:r w:rsidRPr="00D333A9">
        <w:rPr>
          <w:rFonts w:cs="Arial"/>
          <w:lang w:val="fr-BE"/>
        </w:rPr>
        <w:t xml:space="preserve">occasionner des dégâts à l’environnement social du consommateur tels que les membres de la famille, les amis, les collègues ou les inconnus (WHO, 2014). </w:t>
      </w:r>
      <w:r w:rsidR="000F1700" w:rsidRPr="00D333A9">
        <w:rPr>
          <w:rFonts w:cs="Arial"/>
          <w:lang w:val="fr-BE"/>
        </w:rPr>
        <w:t>Citons par exemple</w:t>
      </w:r>
      <w:r w:rsidRPr="00D333A9">
        <w:rPr>
          <w:rFonts w:cs="Arial"/>
          <w:lang w:val="fr-BE"/>
        </w:rPr>
        <w:t xml:space="preserve"> les blessures intentionnelles (maltraitance ou meurtre) et non-intentionnelles (accident de</w:t>
      </w:r>
      <w:r w:rsidR="002A66DE">
        <w:rPr>
          <w:rFonts w:cs="Arial"/>
          <w:lang w:val="fr-BE"/>
        </w:rPr>
        <w:t xml:space="preserve"> travail, de la circulation, etc.</w:t>
      </w:r>
      <w:r w:rsidRPr="00D333A9">
        <w:rPr>
          <w:rFonts w:cs="Arial"/>
          <w:lang w:val="fr-BE"/>
        </w:rPr>
        <w:t>), la négligence ou les abus,  le non-respect de ses obligations sociales (en tant que parent, travailleur,</w:t>
      </w:r>
      <w:r w:rsidR="002A66DE">
        <w:rPr>
          <w:rFonts w:cs="Arial"/>
          <w:lang w:val="fr-BE"/>
        </w:rPr>
        <w:t xml:space="preserve"> etc.</w:t>
      </w:r>
      <w:r w:rsidR="0025301D">
        <w:rPr>
          <w:rFonts w:cs="Arial"/>
          <w:lang w:val="fr-BE"/>
        </w:rPr>
        <w:t>), la dégradation des biens,</w:t>
      </w:r>
      <w:r w:rsidRPr="00D333A9">
        <w:rPr>
          <w:rFonts w:cs="Arial"/>
          <w:lang w:val="fr-BE"/>
        </w:rPr>
        <w:t xml:space="preserve"> les eff</w:t>
      </w:r>
      <w:r w:rsidR="0025301D">
        <w:rPr>
          <w:rFonts w:cs="Arial"/>
          <w:lang w:val="fr-BE"/>
        </w:rPr>
        <w:t xml:space="preserve">ets toxiques infligés à autrui, </w:t>
      </w:r>
      <w:r w:rsidRPr="00D333A9">
        <w:rPr>
          <w:rFonts w:cs="Arial"/>
          <w:lang w:val="fr-BE"/>
        </w:rPr>
        <w:t>l’impact sur la qualité de vie ou sur la sérénité de son environnement (p.ex. ne pas pouvoir trouver le sommeil ou être constamment inquiété</w:t>
      </w:r>
      <w:r w:rsidR="002A66DE">
        <w:rPr>
          <w:rFonts w:cs="Arial"/>
          <w:lang w:val="fr-BE"/>
        </w:rPr>
        <w:t xml:space="preserve"> par les actions du buveur, etc.</w:t>
      </w:r>
      <w:r w:rsidR="0025301D">
        <w:rPr>
          <w:rFonts w:cs="Arial"/>
          <w:lang w:val="fr-BE"/>
        </w:rPr>
        <w:t>)</w:t>
      </w:r>
      <w:r w:rsidRPr="00D333A9">
        <w:rPr>
          <w:rFonts w:cs="Arial"/>
          <w:lang w:val="fr-BE"/>
        </w:rPr>
        <w:t>, les dégâts à la famille (séparation, difficultés conjugales, p</w:t>
      </w:r>
      <w:r w:rsidR="002A66DE">
        <w:rPr>
          <w:rFonts w:cs="Arial"/>
          <w:lang w:val="fr-BE"/>
        </w:rPr>
        <w:t>roblèmes financiers, pauvreté, etc.</w:t>
      </w:r>
      <w:r w:rsidRPr="00D333A9">
        <w:rPr>
          <w:rFonts w:cs="Arial"/>
          <w:lang w:val="fr-BE"/>
        </w:rPr>
        <w:t>)</w:t>
      </w:r>
      <w:r w:rsidR="008F45CF" w:rsidRPr="00D333A9">
        <w:rPr>
          <w:rFonts w:cs="Arial"/>
          <w:lang w:val="fr-BE"/>
        </w:rPr>
        <w:t xml:space="preserve">. </w:t>
      </w:r>
    </w:p>
    <w:p w:rsidR="008B30DE" w:rsidRPr="00D333A9" w:rsidRDefault="008B30DE" w:rsidP="008B30DE">
      <w:pPr>
        <w:rPr>
          <w:rFonts w:cs="Arial"/>
          <w:lang w:val="fr-BE"/>
        </w:rPr>
      </w:pPr>
    </w:p>
    <w:p w:rsidR="008B30DE" w:rsidRPr="00D333A9" w:rsidRDefault="008B30DE" w:rsidP="008B30DE">
      <w:pPr>
        <w:rPr>
          <w:rFonts w:eastAsia="Calibri" w:cs="Arial"/>
          <w:lang w:val="fr-BE" w:eastAsia="nl-NL"/>
        </w:rPr>
      </w:pPr>
      <w:r w:rsidRPr="00D333A9">
        <w:rPr>
          <w:rFonts w:eastAsia="Calibri" w:cs="Arial"/>
          <w:lang w:val="fr-BE" w:eastAsia="nl-NL"/>
        </w:rPr>
        <w:t>Il y a, dans la famille, cinq grands piliers sur lesquels la consommation d’alcool peut avoir un impac</w:t>
      </w:r>
      <w:r w:rsidR="00E966BC" w:rsidRPr="00D333A9">
        <w:rPr>
          <w:rFonts w:eastAsia="Calibri" w:cs="Arial"/>
          <w:lang w:val="fr-BE" w:eastAsia="nl-NL"/>
        </w:rPr>
        <w:t>t</w:t>
      </w:r>
      <w:r w:rsidRPr="00D333A9">
        <w:rPr>
          <w:rFonts w:eastAsia="Calibri" w:cs="Arial"/>
          <w:lang w:val="fr-BE" w:eastAsia="nl-NL"/>
        </w:rPr>
        <w:t xml:space="preserve">, à savoir: le mariage et la relation conjugale ; la vie de famille et le fonctionnement familial ; les troubles psychiques </w:t>
      </w:r>
      <w:r w:rsidR="0045727B" w:rsidRPr="00D333A9">
        <w:rPr>
          <w:rFonts w:eastAsia="Calibri" w:cs="Arial"/>
          <w:lang w:val="fr-BE" w:eastAsia="nl-NL"/>
        </w:rPr>
        <w:t>associés</w:t>
      </w:r>
      <w:r w:rsidRPr="00D333A9">
        <w:rPr>
          <w:rFonts w:eastAsia="Calibri" w:cs="Arial"/>
          <w:lang w:val="fr-BE" w:eastAsia="nl-NL"/>
        </w:rPr>
        <w:t xml:space="preserve"> et autres troubles</w:t>
      </w:r>
      <w:r w:rsidR="0075118A">
        <w:rPr>
          <w:rFonts w:eastAsia="Calibri" w:cs="Arial"/>
          <w:lang w:val="fr-BE" w:eastAsia="nl-NL"/>
        </w:rPr>
        <w:t xml:space="preserve"> induits</w:t>
      </w:r>
      <w:r w:rsidRPr="00D333A9">
        <w:rPr>
          <w:rFonts w:eastAsia="Calibri" w:cs="Arial"/>
          <w:lang w:val="fr-BE" w:eastAsia="nl-NL"/>
        </w:rPr>
        <w:t xml:space="preserve"> chez les </w:t>
      </w:r>
      <w:r w:rsidR="0075118A">
        <w:rPr>
          <w:rFonts w:eastAsia="Calibri" w:cs="Arial"/>
          <w:lang w:val="fr-BE" w:eastAsia="nl-NL"/>
        </w:rPr>
        <w:t xml:space="preserve">proches </w:t>
      </w:r>
      <w:r w:rsidRPr="00D333A9">
        <w:rPr>
          <w:rFonts w:eastAsia="Calibri" w:cs="Arial"/>
          <w:lang w:val="fr-BE" w:eastAsia="nl-NL"/>
        </w:rPr>
        <w:t>parents ; l’éducation ; la santé physique, cognitive et mentale des enfants (</w:t>
      </w:r>
      <w:r w:rsidRPr="00D333A9">
        <w:rPr>
          <w:rFonts w:cs="Arial"/>
          <w:lang w:val="fr-BE"/>
        </w:rPr>
        <w:t xml:space="preserve">Hutchinson et al., 2014). </w:t>
      </w:r>
    </w:p>
    <w:p w:rsidR="008B30DE" w:rsidRPr="00D333A9" w:rsidRDefault="008B30DE" w:rsidP="008B30DE">
      <w:pPr>
        <w:rPr>
          <w:rFonts w:eastAsia="Calibri" w:cs="Arial"/>
          <w:lang w:val="fr-BE" w:eastAsia="nl-NL"/>
        </w:rPr>
      </w:pPr>
    </w:p>
    <w:p w:rsidR="008B30DE" w:rsidRPr="00D333A9" w:rsidRDefault="008B30DE" w:rsidP="008B30DE">
      <w:pPr>
        <w:rPr>
          <w:rFonts w:eastAsia="Calibri" w:cs="Arial"/>
          <w:lang w:val="fr-BE" w:eastAsia="nl-NL"/>
        </w:rPr>
      </w:pPr>
      <w:r w:rsidRPr="00D333A9">
        <w:rPr>
          <w:rFonts w:eastAsia="Calibri" w:cs="Arial"/>
          <w:lang w:val="fr-BE" w:eastAsia="nl-NL"/>
        </w:rPr>
        <w:t xml:space="preserve">La santé, la sécurité et la productivité du travailleur et de son environnement peuvent </w:t>
      </w:r>
      <w:r w:rsidR="008F45CF" w:rsidRPr="00D333A9">
        <w:rPr>
          <w:rFonts w:eastAsia="Calibri" w:cs="Arial"/>
          <w:lang w:val="fr-BE" w:eastAsia="nl-NL"/>
        </w:rPr>
        <w:t xml:space="preserve">également </w:t>
      </w:r>
      <w:r w:rsidRPr="00D333A9">
        <w:rPr>
          <w:rFonts w:eastAsia="Calibri" w:cs="Arial"/>
          <w:lang w:val="fr-BE" w:eastAsia="nl-NL"/>
        </w:rPr>
        <w:t xml:space="preserve">être impactés par la consommation d’alcool, tant à l’extérieur que sur le lieu-même du travail. Les consommateurs problématiques sont plus souvent malades et absents, sont plus impliqués dans des accidents du travail et prestent moins </w:t>
      </w:r>
      <w:r w:rsidRPr="00D333A9">
        <w:rPr>
          <w:rFonts w:cs="Arial"/>
          <w:bCs/>
          <w:lang w:val="fr-BE"/>
        </w:rPr>
        <w:t>(Anderson</w:t>
      </w:r>
      <w:r w:rsidR="008F45CF" w:rsidRPr="00D333A9">
        <w:rPr>
          <w:rFonts w:cs="Arial"/>
          <w:bCs/>
          <w:lang w:val="fr-BE"/>
        </w:rPr>
        <w:t xml:space="preserve"> et al.,</w:t>
      </w:r>
      <w:r w:rsidRPr="00D333A9">
        <w:rPr>
          <w:rFonts w:cs="Arial"/>
          <w:bCs/>
          <w:lang w:val="fr-BE"/>
        </w:rPr>
        <w:t xml:space="preserve"> 2012)</w:t>
      </w:r>
      <w:r w:rsidRPr="00D333A9">
        <w:rPr>
          <w:rFonts w:cs="Arial"/>
          <w:lang w:val="fr-BE"/>
        </w:rPr>
        <w:t>.</w:t>
      </w:r>
      <w:r w:rsidRPr="00D333A9">
        <w:rPr>
          <w:rFonts w:eastAsia="Calibri" w:cs="Arial"/>
          <w:lang w:val="fr-BE" w:eastAsia="nl-NL"/>
        </w:rPr>
        <w:t xml:space="preserve"> L’absentéisme pour maladie et/ou l’absence sur le lieu de travail chez les personnes présentant un problème de consommation d‘alcool sont deux à six fois supérieurs à la moyenne (</w:t>
      </w:r>
      <w:r w:rsidRPr="00D333A9">
        <w:rPr>
          <w:rFonts w:cs="Arial"/>
          <w:lang w:val="fr-BE"/>
        </w:rPr>
        <w:t>Devaux, 2015)</w:t>
      </w:r>
      <w:r w:rsidRPr="00D333A9">
        <w:rPr>
          <w:rFonts w:eastAsia="Calibri" w:cs="Arial"/>
          <w:lang w:val="fr-BE" w:eastAsia="nl-NL"/>
        </w:rPr>
        <w:t xml:space="preserve">. </w:t>
      </w:r>
    </w:p>
    <w:p w:rsidR="008B30DE" w:rsidRPr="00D333A9" w:rsidRDefault="008B30DE" w:rsidP="008B30DE">
      <w:pPr>
        <w:rPr>
          <w:rFonts w:eastAsia="Calibri" w:cs="Arial"/>
          <w:lang w:val="fr-BE" w:eastAsia="nl-NL"/>
        </w:rPr>
      </w:pPr>
    </w:p>
    <w:p w:rsidR="008B30DE" w:rsidRPr="00D333A9" w:rsidRDefault="008B30DE" w:rsidP="008B30DE">
      <w:pPr>
        <w:autoSpaceDE w:val="0"/>
        <w:autoSpaceDN w:val="0"/>
        <w:adjustRightInd w:val="0"/>
        <w:rPr>
          <w:rFonts w:cs="Arial"/>
          <w:lang w:val="fr-BE" w:eastAsia="nl-BE"/>
        </w:rPr>
      </w:pPr>
      <w:r w:rsidRPr="00D333A9">
        <w:rPr>
          <w:rFonts w:eastAsia="Calibri" w:cs="Arial"/>
          <w:lang w:val="fr-BE" w:eastAsia="nl-BE"/>
        </w:rPr>
        <w:t xml:space="preserve">Conduire en voiture sous l’influence de l’alcool est l’une des principales causes d’accident de la circulation en Europe </w:t>
      </w:r>
      <w:r w:rsidRPr="00D333A9">
        <w:rPr>
          <w:rFonts w:eastAsia="Calibri" w:cs="Arial"/>
          <w:lang w:val="fr-BE" w:eastAsia="nl-NL"/>
        </w:rPr>
        <w:t>(Van Thienen, 2013).</w:t>
      </w:r>
      <w:r w:rsidRPr="00D333A9">
        <w:rPr>
          <w:rFonts w:eastAsia="Calibri" w:cs="Arial"/>
          <w:lang w:val="fr-BE" w:eastAsia="nl-BE"/>
        </w:rPr>
        <w:t xml:space="preserve">  Dès un taux d’alcoolémie de </w:t>
      </w:r>
      <w:r w:rsidRPr="00D333A9">
        <w:rPr>
          <w:rFonts w:cs="Arial"/>
          <w:lang w:val="fr-BE"/>
        </w:rPr>
        <w:t>0,5</w:t>
      </w:r>
      <w:r w:rsidR="002A66DE">
        <w:rPr>
          <w:rFonts w:cs="Arial"/>
          <w:lang w:val="fr-BE"/>
        </w:rPr>
        <w:t xml:space="preserve"> </w:t>
      </w:r>
      <w:r w:rsidRPr="00D333A9">
        <w:rPr>
          <w:rFonts w:cs="Arial"/>
          <w:lang w:val="fr-BE"/>
        </w:rPr>
        <w:t>‰ à 0,8</w:t>
      </w:r>
      <w:r w:rsidR="002A66DE">
        <w:rPr>
          <w:rFonts w:cs="Arial"/>
          <w:lang w:val="fr-BE"/>
        </w:rPr>
        <w:t xml:space="preserve"> </w:t>
      </w:r>
      <w:r w:rsidRPr="00D333A9">
        <w:rPr>
          <w:rFonts w:cs="Arial"/>
          <w:lang w:val="fr-BE"/>
        </w:rPr>
        <w:t xml:space="preserve">‰, </w:t>
      </w:r>
      <w:r w:rsidRPr="00D333A9">
        <w:rPr>
          <w:rFonts w:eastAsia="Calibri" w:cs="Arial"/>
          <w:lang w:val="fr-BE" w:eastAsia="nl-BE"/>
        </w:rPr>
        <w:t xml:space="preserve">les performances de conduite sont détériorées </w:t>
      </w:r>
      <w:r w:rsidRPr="00D333A9">
        <w:rPr>
          <w:rFonts w:cs="Arial"/>
          <w:lang w:val="fr-BE"/>
        </w:rPr>
        <w:t>(</w:t>
      </w:r>
      <w:proofErr w:type="spellStart"/>
      <w:r w:rsidRPr="00D333A9">
        <w:rPr>
          <w:rFonts w:eastAsia="Calibri" w:cs="Arial"/>
          <w:lang w:val="fr-BE" w:eastAsia="nl-BE"/>
        </w:rPr>
        <w:t>Meesmann</w:t>
      </w:r>
      <w:proofErr w:type="spellEnd"/>
      <w:r w:rsidRPr="00D333A9">
        <w:rPr>
          <w:rFonts w:eastAsia="Calibri" w:cs="Arial"/>
          <w:lang w:val="fr-BE" w:eastAsia="nl-BE"/>
        </w:rPr>
        <w:t xml:space="preserve"> &amp; Boets</w:t>
      </w:r>
      <w:r w:rsidRPr="00D333A9">
        <w:rPr>
          <w:rFonts w:cs="Arial"/>
          <w:lang w:val="fr-BE" w:eastAsia="nl-BE"/>
        </w:rPr>
        <w:t>, 2014)</w:t>
      </w:r>
      <w:r w:rsidRPr="00D333A9">
        <w:rPr>
          <w:rFonts w:cs="Arial"/>
          <w:lang w:val="fr-BE"/>
        </w:rPr>
        <w:t xml:space="preserve">. </w:t>
      </w:r>
      <w:r w:rsidRPr="00D333A9">
        <w:rPr>
          <w:rFonts w:eastAsia="Calibri" w:cs="Arial"/>
          <w:lang w:val="fr-BE" w:eastAsia="nl-BE"/>
        </w:rPr>
        <w:t xml:space="preserve"> Conduire sous influence de l’alcool mène à un risque accru d’accident. Le risque augmente de façon exponentielle avec des taux d’alcoolémies supérieurs. Chez une personne présentant un taux d’alcoolémie de </w:t>
      </w:r>
      <w:r w:rsidRPr="00D333A9">
        <w:rPr>
          <w:rFonts w:cs="Arial"/>
          <w:lang w:val="fr-BE"/>
        </w:rPr>
        <w:t>0,5</w:t>
      </w:r>
      <w:r w:rsidR="002A66DE">
        <w:rPr>
          <w:rFonts w:cs="Arial"/>
          <w:lang w:val="fr-BE"/>
        </w:rPr>
        <w:t xml:space="preserve"> </w:t>
      </w:r>
      <w:r w:rsidRPr="00D333A9">
        <w:rPr>
          <w:rFonts w:cs="Arial"/>
          <w:lang w:val="fr-BE"/>
        </w:rPr>
        <w:t xml:space="preserve">‰, le </w:t>
      </w:r>
      <w:r w:rsidRPr="00D333A9">
        <w:rPr>
          <w:rFonts w:eastAsia="Calibri" w:cs="Arial"/>
          <w:lang w:val="fr-BE" w:eastAsia="nl-BE"/>
        </w:rPr>
        <w:t>risque d’accident</w:t>
      </w:r>
      <w:r w:rsidRPr="00D333A9">
        <w:rPr>
          <w:rFonts w:cs="Arial"/>
          <w:lang w:val="fr-BE"/>
        </w:rPr>
        <w:t xml:space="preserve"> est environ 40</w:t>
      </w:r>
      <w:r w:rsidR="002A66DE">
        <w:rPr>
          <w:rFonts w:cs="Arial"/>
          <w:lang w:val="fr-BE"/>
        </w:rPr>
        <w:t xml:space="preserve"> </w:t>
      </w:r>
      <w:r w:rsidRPr="00D333A9">
        <w:rPr>
          <w:rFonts w:cs="Arial"/>
          <w:lang w:val="fr-BE"/>
        </w:rPr>
        <w:t>% supérieur à celui d’un conducteur sobre. Pour 1,0</w:t>
      </w:r>
      <w:r w:rsidR="002A66DE">
        <w:rPr>
          <w:rFonts w:cs="Arial"/>
          <w:lang w:val="fr-BE"/>
        </w:rPr>
        <w:t xml:space="preserve"> </w:t>
      </w:r>
      <w:r w:rsidRPr="00D333A9">
        <w:rPr>
          <w:rFonts w:cs="Arial"/>
          <w:lang w:val="fr-BE"/>
        </w:rPr>
        <w:t xml:space="preserve">‰, le risque est quasiment quatre fois supérieur et pour un </w:t>
      </w:r>
      <w:r w:rsidRPr="00D333A9">
        <w:rPr>
          <w:rFonts w:eastAsia="Calibri" w:cs="Arial"/>
          <w:lang w:val="fr-BE" w:eastAsia="nl-BE"/>
        </w:rPr>
        <w:t xml:space="preserve">taux d’alcoolémie de </w:t>
      </w:r>
      <w:r w:rsidRPr="00D333A9">
        <w:rPr>
          <w:rFonts w:cs="Arial"/>
          <w:lang w:val="fr-BE"/>
        </w:rPr>
        <w:t>1,5</w:t>
      </w:r>
      <w:r w:rsidR="002A66DE">
        <w:rPr>
          <w:rFonts w:cs="Arial"/>
          <w:lang w:val="fr-BE"/>
        </w:rPr>
        <w:t xml:space="preserve"> </w:t>
      </w:r>
      <w:r w:rsidRPr="00D333A9">
        <w:rPr>
          <w:rFonts w:cs="Arial"/>
          <w:lang w:val="fr-BE"/>
        </w:rPr>
        <w:t xml:space="preserve">‰, le </w:t>
      </w:r>
      <w:r w:rsidRPr="00D333A9">
        <w:rPr>
          <w:rFonts w:eastAsia="Calibri" w:cs="Arial"/>
          <w:lang w:val="fr-BE" w:eastAsia="nl-BE"/>
        </w:rPr>
        <w:t xml:space="preserve">risque d’accident est même jusqu’à plus de 20 fois supérieur à celui </w:t>
      </w:r>
      <w:r w:rsidRPr="00D333A9">
        <w:rPr>
          <w:rFonts w:cs="Arial"/>
          <w:lang w:val="fr-BE"/>
        </w:rPr>
        <w:t xml:space="preserve">d’un conducteur sobre </w:t>
      </w:r>
      <w:r w:rsidRPr="00D333A9">
        <w:rPr>
          <w:rFonts w:eastAsia="Calibri" w:cs="Arial"/>
          <w:lang w:val="fr-BE" w:eastAsia="nl-BE"/>
        </w:rPr>
        <w:t>(SWOV, 2011).</w:t>
      </w:r>
      <w:r w:rsidRPr="00D333A9">
        <w:rPr>
          <w:rFonts w:cs="Arial"/>
          <w:lang w:val="fr-BE"/>
        </w:rPr>
        <w:t xml:space="preserve"> La gravité des </w:t>
      </w:r>
      <w:r w:rsidRPr="00D333A9">
        <w:rPr>
          <w:rFonts w:eastAsia="Calibri" w:cs="Arial"/>
          <w:lang w:val="fr-BE" w:eastAsia="nl-BE"/>
        </w:rPr>
        <w:t xml:space="preserve">accidents de la circulation augmente en fonction de la quantité d’alcool ingérée par le conducteur. Le risque d’accident mortel augmente de 2,5 fois pour un taux de </w:t>
      </w:r>
      <w:r w:rsidRPr="00D333A9">
        <w:rPr>
          <w:rFonts w:cs="Arial"/>
          <w:lang w:val="fr-BE"/>
        </w:rPr>
        <w:t>0,5</w:t>
      </w:r>
      <w:r w:rsidR="002A66DE">
        <w:rPr>
          <w:rFonts w:cs="Arial"/>
          <w:lang w:val="fr-BE"/>
        </w:rPr>
        <w:t xml:space="preserve"> </w:t>
      </w:r>
      <w:r w:rsidRPr="00D333A9">
        <w:rPr>
          <w:rFonts w:cs="Arial"/>
          <w:lang w:val="fr-BE"/>
        </w:rPr>
        <w:t xml:space="preserve">‰, de 4,5 fois </w:t>
      </w:r>
      <w:r w:rsidRPr="00D333A9">
        <w:rPr>
          <w:rFonts w:eastAsia="Calibri" w:cs="Arial"/>
          <w:lang w:val="fr-BE" w:eastAsia="nl-BE"/>
        </w:rPr>
        <w:t xml:space="preserve">pour un taux de </w:t>
      </w:r>
      <w:r w:rsidRPr="00D333A9">
        <w:rPr>
          <w:rFonts w:cs="Arial"/>
          <w:lang w:val="fr-BE"/>
        </w:rPr>
        <w:t>0,8</w:t>
      </w:r>
      <w:r w:rsidR="002A66DE">
        <w:rPr>
          <w:rFonts w:cs="Arial"/>
          <w:lang w:val="fr-BE"/>
        </w:rPr>
        <w:t xml:space="preserve"> </w:t>
      </w:r>
      <w:r w:rsidRPr="00D333A9">
        <w:rPr>
          <w:rFonts w:cs="Arial"/>
          <w:lang w:val="fr-BE"/>
        </w:rPr>
        <w:t xml:space="preserve">‰ et de 16 fois </w:t>
      </w:r>
      <w:r w:rsidRPr="00D333A9">
        <w:rPr>
          <w:rFonts w:eastAsia="Calibri" w:cs="Arial"/>
          <w:lang w:val="fr-BE" w:eastAsia="nl-BE"/>
        </w:rPr>
        <w:t>pour un taux de 1</w:t>
      </w:r>
      <w:r w:rsidRPr="00D333A9">
        <w:rPr>
          <w:rFonts w:cs="Arial"/>
          <w:lang w:val="fr-BE"/>
        </w:rPr>
        <w:t>,5</w:t>
      </w:r>
      <w:r w:rsidR="002A66DE">
        <w:rPr>
          <w:rFonts w:cs="Arial"/>
          <w:lang w:val="fr-BE"/>
        </w:rPr>
        <w:t xml:space="preserve"> </w:t>
      </w:r>
      <w:r w:rsidRPr="00D333A9">
        <w:rPr>
          <w:rFonts w:cs="Arial"/>
          <w:lang w:val="fr-BE"/>
        </w:rPr>
        <w:t xml:space="preserve">‰ </w:t>
      </w:r>
      <w:r w:rsidRPr="00D333A9">
        <w:rPr>
          <w:rFonts w:eastAsia="Calibri" w:cs="Arial"/>
          <w:lang w:val="fr-BE" w:eastAsia="nl-BE"/>
        </w:rPr>
        <w:t>(</w:t>
      </w:r>
      <w:r w:rsidRPr="00D333A9">
        <w:rPr>
          <w:rFonts w:cs="Arial"/>
          <w:lang w:val="fr-BE"/>
        </w:rPr>
        <w:t>Van Thienen, 2013)</w:t>
      </w:r>
      <w:r w:rsidRPr="00D333A9">
        <w:rPr>
          <w:rFonts w:eastAsia="Calibri" w:cs="Arial"/>
          <w:lang w:val="fr-BE" w:eastAsia="nl-BE"/>
        </w:rPr>
        <w:t>.</w:t>
      </w:r>
    </w:p>
    <w:p w:rsidR="008B30DE" w:rsidRPr="00D333A9" w:rsidRDefault="008B30DE" w:rsidP="008B30DE">
      <w:pPr>
        <w:autoSpaceDE w:val="0"/>
        <w:autoSpaceDN w:val="0"/>
        <w:adjustRightInd w:val="0"/>
        <w:rPr>
          <w:rFonts w:eastAsia="Calibri" w:cs="Arial"/>
          <w:lang w:val="fr-BE" w:eastAsia="nl-BE"/>
        </w:rPr>
      </w:pPr>
    </w:p>
    <w:p w:rsidR="008B30DE" w:rsidRPr="00D333A9" w:rsidRDefault="008B30DE" w:rsidP="008B30DE">
      <w:pPr>
        <w:rPr>
          <w:lang w:val="fr-BE"/>
        </w:rPr>
      </w:pPr>
      <w:r w:rsidRPr="00D333A9">
        <w:rPr>
          <w:lang w:val="fr-BE"/>
        </w:rPr>
        <w:t xml:space="preserve">L’alcool joue un rôle important en cas d’agression et d’autres formes de criminalité, plus particulièrement lors d’infractions violentes. La </w:t>
      </w:r>
      <w:r w:rsidRPr="00D333A9">
        <w:rPr>
          <w:rFonts w:eastAsia="Calibri" w:cs="Arial"/>
          <w:lang w:val="fr-BE" w:eastAsia="nl-NL"/>
        </w:rPr>
        <w:t xml:space="preserve">consommation d’alcool augmente la fréquence et l’ampleur du comportement agressif, et l’effet augmente avec la dose ingérée </w:t>
      </w:r>
      <w:r w:rsidRPr="00D333A9">
        <w:rPr>
          <w:rFonts w:cs="Arial"/>
          <w:lang w:val="fr-BE"/>
        </w:rPr>
        <w:t>(</w:t>
      </w:r>
      <w:proofErr w:type="spellStart"/>
      <w:r w:rsidRPr="00D333A9">
        <w:rPr>
          <w:rFonts w:cs="Arial"/>
          <w:lang w:val="fr-BE"/>
        </w:rPr>
        <w:t>Lammers</w:t>
      </w:r>
      <w:proofErr w:type="spellEnd"/>
      <w:r w:rsidR="008F45CF" w:rsidRPr="00D333A9">
        <w:rPr>
          <w:rFonts w:cs="Arial"/>
          <w:lang w:val="fr-BE"/>
        </w:rPr>
        <w:t xml:space="preserve"> et al.,</w:t>
      </w:r>
      <w:r w:rsidRPr="00D333A9">
        <w:rPr>
          <w:rFonts w:cs="Arial"/>
          <w:lang w:val="fr-BE"/>
        </w:rPr>
        <w:t xml:space="preserve"> 2014)</w:t>
      </w:r>
      <w:r w:rsidRPr="00D333A9">
        <w:rPr>
          <w:rFonts w:eastAsia="Calibri" w:cs="Arial"/>
          <w:lang w:val="fr-BE" w:eastAsia="nl-NL"/>
        </w:rPr>
        <w:t xml:space="preserve">. Une enquête montre que dans environ la moitié de tous les faits criminels, l’auteur est sous l’influence de l’alcool </w:t>
      </w:r>
      <w:r w:rsidRPr="00D333A9">
        <w:rPr>
          <w:rFonts w:cs="Arial"/>
          <w:lang w:val="fr-BE"/>
        </w:rPr>
        <w:t>(Beck &amp; Heinz, 2013).</w:t>
      </w:r>
      <w:r w:rsidRPr="00D333A9">
        <w:rPr>
          <w:rFonts w:eastAsia="Calibri" w:cs="Arial"/>
          <w:lang w:val="fr-BE" w:eastAsia="nl-NL"/>
        </w:rPr>
        <w:t xml:space="preserve"> De tous les patients arrivant dans les services d’urgences des hôpitaux avec des blessures consécutives à des actes de violence, cela est corrélé - dans 63</w:t>
      </w:r>
      <w:r w:rsidR="002A66DE">
        <w:rPr>
          <w:rFonts w:eastAsia="Calibri" w:cs="Arial"/>
          <w:lang w:val="fr-BE" w:eastAsia="nl-NL"/>
        </w:rPr>
        <w:t xml:space="preserve"> </w:t>
      </w:r>
      <w:r w:rsidRPr="00D333A9">
        <w:rPr>
          <w:rFonts w:eastAsia="Calibri" w:cs="Arial"/>
          <w:lang w:val="fr-BE" w:eastAsia="nl-NL"/>
        </w:rPr>
        <w:t xml:space="preserve">% des cas - avec une consommation d’alcool chez la victime, l’auteur des faits ou les deux </w:t>
      </w:r>
      <w:r w:rsidRPr="00D333A9">
        <w:rPr>
          <w:rFonts w:cs="Arial"/>
          <w:lang w:val="fr-BE"/>
        </w:rPr>
        <w:t>(</w:t>
      </w:r>
      <w:proofErr w:type="spellStart"/>
      <w:r w:rsidRPr="00D333A9">
        <w:rPr>
          <w:rFonts w:cs="Arial"/>
          <w:lang w:val="fr-BE"/>
        </w:rPr>
        <w:t>Cherpitel</w:t>
      </w:r>
      <w:proofErr w:type="spellEnd"/>
      <w:r w:rsidR="008F45CF" w:rsidRPr="00D333A9">
        <w:rPr>
          <w:rFonts w:cs="Arial"/>
          <w:lang w:val="fr-BE"/>
        </w:rPr>
        <w:t xml:space="preserve"> et al.,</w:t>
      </w:r>
      <w:r w:rsidRPr="00D333A9">
        <w:rPr>
          <w:rFonts w:cs="Arial"/>
          <w:lang w:val="fr-BE"/>
        </w:rPr>
        <w:t xml:space="preserve"> 2012)</w:t>
      </w:r>
      <w:r w:rsidRPr="00D333A9">
        <w:rPr>
          <w:rFonts w:eastAsia="Calibri" w:cs="Arial"/>
          <w:lang w:val="fr-BE" w:eastAsia="nl-NL"/>
        </w:rPr>
        <w:t xml:space="preserve">. Dans environ la moitié des faits de violence sexuelle qui ont été ou non rapportés, la consommation d’alcool a joué un rôle chez l’auteur des faits, chez la victime ou chez les deux </w:t>
      </w:r>
      <w:r w:rsidRPr="00D333A9">
        <w:rPr>
          <w:rFonts w:cs="Arial"/>
          <w:lang w:val="fr-BE"/>
        </w:rPr>
        <w:t xml:space="preserve">(Abbey, 2011; </w:t>
      </w:r>
      <w:proofErr w:type="spellStart"/>
      <w:r w:rsidRPr="00D333A9">
        <w:rPr>
          <w:rFonts w:cs="Arial"/>
          <w:lang w:val="fr-BE"/>
        </w:rPr>
        <w:t>Kraanen</w:t>
      </w:r>
      <w:proofErr w:type="spellEnd"/>
      <w:r w:rsidRPr="00D333A9">
        <w:rPr>
          <w:rFonts w:cs="Arial"/>
          <w:lang w:val="fr-BE"/>
        </w:rPr>
        <w:t xml:space="preserve"> &amp;, </w:t>
      </w:r>
      <w:proofErr w:type="spellStart"/>
      <w:r w:rsidRPr="00D333A9">
        <w:rPr>
          <w:rFonts w:cs="Arial"/>
          <w:lang w:val="fr-BE"/>
        </w:rPr>
        <w:t>Emmelkamp</w:t>
      </w:r>
      <w:proofErr w:type="spellEnd"/>
      <w:r w:rsidRPr="00D333A9">
        <w:rPr>
          <w:rFonts w:cs="Arial"/>
          <w:lang w:val="fr-BE"/>
        </w:rPr>
        <w:t>, 2011).</w:t>
      </w:r>
    </w:p>
    <w:p w:rsidR="0098025D" w:rsidRPr="00D333A9" w:rsidRDefault="0098025D" w:rsidP="0094590D">
      <w:pPr>
        <w:rPr>
          <w:rFonts w:cs="Arial"/>
          <w:lang w:val="fr-BE"/>
        </w:rPr>
      </w:pPr>
    </w:p>
    <w:p w:rsidR="00421FA4" w:rsidRPr="00D333A9" w:rsidRDefault="00421FA4" w:rsidP="00421FA4">
      <w:pPr>
        <w:spacing w:after="160" w:line="259" w:lineRule="auto"/>
        <w:rPr>
          <w:rFonts w:cs="Arial"/>
          <w:lang w:val="fr-BE"/>
        </w:rPr>
      </w:pPr>
      <w:r w:rsidRPr="00D333A9">
        <w:rPr>
          <w:rFonts w:cs="Arial"/>
          <w:lang w:val="fr-BE"/>
        </w:rPr>
        <w:t>Le rapport sur le coût social des drogues (</w:t>
      </w:r>
      <w:proofErr w:type="spellStart"/>
      <w:r w:rsidRPr="00D333A9">
        <w:rPr>
          <w:rFonts w:cs="Arial"/>
          <w:lang w:val="fr-BE"/>
        </w:rPr>
        <w:t>Lievens</w:t>
      </w:r>
      <w:proofErr w:type="spellEnd"/>
      <w:r w:rsidRPr="00D333A9">
        <w:rPr>
          <w:rFonts w:cs="Arial"/>
          <w:lang w:val="fr-BE"/>
        </w:rPr>
        <w:t xml:space="preserve"> et al., 2016) indique qu’en 2012, les coûts directs (soins de santé par exemple) et indirects (perte de productivité par exemple) de l’alcool étaient estimés à 2,1 milliards. Outre les coûts directs et indirects, 175.329 années en bonne santé sont aussi perdues en raison de l’abus d’alcool (ce qui équivaudrait à un coût de plus de 6 milliards €).</w:t>
      </w:r>
    </w:p>
    <w:p w:rsidR="00421FA4" w:rsidRPr="00D333A9" w:rsidRDefault="00421FA4" w:rsidP="00421FA4">
      <w:pPr>
        <w:pStyle w:val="Default"/>
        <w:jc w:val="both"/>
        <w:rPr>
          <w:rFonts w:ascii="Arial" w:hAnsi="Arial" w:cs="Arial"/>
          <w:color w:val="auto"/>
          <w:sz w:val="22"/>
          <w:szCs w:val="22"/>
          <w:lang w:val="fr-BE"/>
        </w:rPr>
      </w:pPr>
      <w:r w:rsidRPr="00D333A9">
        <w:rPr>
          <w:rFonts w:ascii="Arial" w:hAnsi="Arial" w:cs="Arial"/>
          <w:color w:val="auto"/>
          <w:sz w:val="22"/>
          <w:szCs w:val="22"/>
          <w:lang w:val="fr-BE"/>
        </w:rPr>
        <w:t xml:space="preserve">Les recettes apportées à l’Etat (via la TVA et les accises), qui sont de l’ordre de 1,8 milliard, ne peuvent donc pas être comparées aux coûts, car cette comparaison ne prend pas en compte la valeur de la (qualité de) vie perdue. </w:t>
      </w:r>
    </w:p>
    <w:p w:rsidR="00B07709" w:rsidRPr="00D333A9" w:rsidRDefault="00B07709" w:rsidP="00B07709">
      <w:pPr>
        <w:rPr>
          <w:lang w:val="fr-BE"/>
        </w:rPr>
      </w:pPr>
    </w:p>
    <w:p w:rsidR="00280959" w:rsidRPr="00D333A9" w:rsidRDefault="00280959">
      <w:pPr>
        <w:spacing w:after="200" w:line="276" w:lineRule="auto"/>
        <w:jc w:val="left"/>
        <w:rPr>
          <w:rFonts w:eastAsiaTheme="majorEastAsia" w:cstheme="majorBidi"/>
          <w:b/>
          <w:bCs/>
          <w:szCs w:val="26"/>
          <w:lang w:val="fr-BE"/>
        </w:rPr>
      </w:pPr>
      <w:r w:rsidRPr="00D333A9">
        <w:rPr>
          <w:lang w:val="fr-BE"/>
        </w:rPr>
        <w:br w:type="page"/>
      </w:r>
    </w:p>
    <w:p w:rsidR="00B07709" w:rsidRPr="00D333A9" w:rsidRDefault="00B07709" w:rsidP="00584EFB">
      <w:pPr>
        <w:pStyle w:val="Titre2"/>
      </w:pPr>
      <w:r w:rsidRPr="00D333A9">
        <w:t xml:space="preserve">Directives sur </w:t>
      </w:r>
      <w:r w:rsidR="00F155E1" w:rsidRPr="00D333A9">
        <w:t xml:space="preserve">la </w:t>
      </w:r>
      <w:proofErr w:type="spellStart"/>
      <w:r w:rsidR="00140E7B" w:rsidRPr="00D333A9">
        <w:t>cons</w:t>
      </w:r>
      <w:r w:rsidR="00185FE4" w:rsidRPr="00D333A9">
        <w:t>o</w:t>
      </w:r>
      <w:r w:rsidR="00140E7B" w:rsidRPr="00D333A9">
        <w:t>mmation</w:t>
      </w:r>
      <w:proofErr w:type="spellEnd"/>
    </w:p>
    <w:p w:rsidR="00140E7B" w:rsidRPr="00D333A9" w:rsidRDefault="00140E7B" w:rsidP="00140E7B">
      <w:pPr>
        <w:rPr>
          <w:lang w:val="fr-BE"/>
        </w:rPr>
      </w:pPr>
      <w:r w:rsidRPr="00D333A9">
        <w:rPr>
          <w:lang w:val="fr-BE"/>
        </w:rPr>
        <w:t xml:space="preserve">Table </w:t>
      </w:r>
      <w:r w:rsidR="000F1700" w:rsidRPr="00D333A9">
        <w:rPr>
          <w:lang w:val="fr-BE"/>
        </w:rPr>
        <w:t>6</w:t>
      </w:r>
      <w:r w:rsidRPr="00D333A9">
        <w:rPr>
          <w:lang w:val="fr-BE"/>
        </w:rPr>
        <w:t xml:space="preserve"> : Synthèse des directives internationales</w:t>
      </w:r>
    </w:p>
    <w:tbl>
      <w:tblPr>
        <w:tblStyle w:val="Grilledutableau"/>
        <w:tblW w:w="9067" w:type="dxa"/>
        <w:tblLayout w:type="fixed"/>
        <w:tblLook w:val="04A0" w:firstRow="1" w:lastRow="0" w:firstColumn="1" w:lastColumn="0" w:noHBand="0" w:noVBand="1"/>
      </w:tblPr>
      <w:tblGrid>
        <w:gridCol w:w="2122"/>
        <w:gridCol w:w="6945"/>
      </w:tblGrid>
      <w:tr w:rsidR="00D02138" w:rsidRPr="00D333A9" w:rsidTr="00B222A6">
        <w:tc>
          <w:tcPr>
            <w:tcW w:w="9067" w:type="dxa"/>
            <w:gridSpan w:val="2"/>
          </w:tcPr>
          <w:p w:rsidR="00D02138" w:rsidRPr="00D333A9" w:rsidRDefault="00564A4C" w:rsidP="00B222A6">
            <w:pPr>
              <w:rPr>
                <w:b/>
                <w:sz w:val="22"/>
                <w:lang w:val="fr-BE"/>
              </w:rPr>
            </w:pPr>
            <w:r w:rsidRPr="00D333A9">
              <w:rPr>
                <w:b/>
                <w:sz w:val="22"/>
                <w:lang w:val="fr-BE"/>
              </w:rPr>
              <w:t>En résumé</w:t>
            </w:r>
            <w:r w:rsidR="00F768DF" w:rsidRPr="00D333A9">
              <w:rPr>
                <w:b/>
                <w:sz w:val="22"/>
                <w:lang w:val="fr-BE"/>
              </w:rPr>
              <w:t> :</w:t>
            </w:r>
          </w:p>
          <w:p w:rsidR="00F768DF" w:rsidRPr="00D333A9" w:rsidRDefault="00F768DF" w:rsidP="00B222A6">
            <w:pPr>
              <w:rPr>
                <w:b/>
                <w:sz w:val="22"/>
                <w:szCs w:val="22"/>
                <w:lang w:val="fr-BE"/>
              </w:rPr>
            </w:pPr>
          </w:p>
        </w:tc>
      </w:tr>
      <w:tr w:rsidR="00D02138" w:rsidRPr="00D333A9" w:rsidTr="00733957">
        <w:tc>
          <w:tcPr>
            <w:tcW w:w="2122" w:type="dxa"/>
          </w:tcPr>
          <w:p w:rsidR="00D02138" w:rsidRPr="00D333A9" w:rsidRDefault="008F45CF" w:rsidP="00D02138">
            <w:r w:rsidRPr="00D333A9">
              <w:rPr>
                <w:lang w:val="fr-BE"/>
              </w:rPr>
              <w:t>CIRC</w:t>
            </w:r>
            <w:r w:rsidRPr="00D333A9">
              <w:rPr>
                <w:lang w:val="fr-BE"/>
              </w:rPr>
              <w:tab/>
            </w:r>
            <w:r w:rsidR="00D02138" w:rsidRPr="00D333A9">
              <w:rPr>
                <w:sz w:val="22"/>
                <w:szCs w:val="22"/>
                <w:lang w:val="en-US"/>
              </w:rPr>
              <w:t xml:space="preserve"> / AICR</w:t>
            </w:r>
          </w:p>
        </w:tc>
        <w:tc>
          <w:tcPr>
            <w:tcW w:w="6945" w:type="dxa"/>
          </w:tcPr>
          <w:p w:rsidR="00D02138" w:rsidRPr="00D333A9" w:rsidRDefault="00D02138" w:rsidP="00D02138">
            <w:pPr>
              <w:tabs>
                <w:tab w:val="right" w:pos="2005"/>
              </w:tabs>
              <w:rPr>
                <w:sz w:val="22"/>
                <w:szCs w:val="22"/>
                <w:lang w:val="fr-BE"/>
              </w:rPr>
            </w:pPr>
            <w:r w:rsidRPr="00D333A9">
              <w:rPr>
                <w:sz w:val="22"/>
                <w:szCs w:val="22"/>
                <w:lang w:val="fr-BE"/>
              </w:rPr>
              <w:t xml:space="preserve">Pas d’alcool </w:t>
            </w:r>
          </w:p>
          <w:p w:rsidR="00D02138" w:rsidRPr="00D333A9" w:rsidRDefault="00D02138" w:rsidP="00D02138">
            <w:pPr>
              <w:tabs>
                <w:tab w:val="right" w:pos="2005"/>
              </w:tabs>
              <w:rPr>
                <w:sz w:val="22"/>
                <w:szCs w:val="22"/>
                <w:lang w:val="fr-BE"/>
              </w:rPr>
            </w:pPr>
            <w:r w:rsidRPr="00D333A9">
              <w:rPr>
                <w:sz w:val="22"/>
                <w:szCs w:val="22"/>
                <w:lang w:val="fr-BE"/>
              </w:rPr>
              <w:t>Si consommation :</w:t>
            </w:r>
          </w:p>
          <w:p w:rsidR="00D02138" w:rsidRPr="00D333A9" w:rsidRDefault="00D02138" w:rsidP="00D02138">
            <w:pPr>
              <w:rPr>
                <w:sz w:val="22"/>
                <w:szCs w:val="22"/>
                <w:lang w:val="fr-BE"/>
              </w:rPr>
            </w:pPr>
            <w:r w:rsidRPr="00D333A9">
              <w:rPr>
                <w:sz w:val="22"/>
                <w:szCs w:val="22"/>
                <w:lang w:val="fr-BE"/>
              </w:rPr>
              <w:t xml:space="preserve">H : 2 / jour </w:t>
            </w:r>
          </w:p>
          <w:p w:rsidR="00D02138" w:rsidRPr="00D333A9" w:rsidRDefault="00D02138" w:rsidP="00D02138">
            <w:pPr>
              <w:tabs>
                <w:tab w:val="right" w:pos="2005"/>
              </w:tabs>
              <w:rPr>
                <w:lang w:val="fr-BE"/>
              </w:rPr>
            </w:pPr>
            <w:r w:rsidRPr="00D333A9">
              <w:rPr>
                <w:sz w:val="22"/>
                <w:szCs w:val="22"/>
                <w:lang w:val="fr-BE"/>
              </w:rPr>
              <w:t>F : 1 / jour</w:t>
            </w:r>
          </w:p>
        </w:tc>
      </w:tr>
      <w:tr w:rsidR="00D02138" w:rsidRPr="00D333A9" w:rsidTr="00733957">
        <w:tc>
          <w:tcPr>
            <w:tcW w:w="2122" w:type="dxa"/>
          </w:tcPr>
          <w:p w:rsidR="00D02138" w:rsidRPr="00D333A9" w:rsidRDefault="00D02138" w:rsidP="00D02138">
            <w:pPr>
              <w:rPr>
                <w:sz w:val="22"/>
                <w:szCs w:val="22"/>
                <w:lang w:val="fr-BE"/>
              </w:rPr>
            </w:pPr>
            <w:r w:rsidRPr="00D333A9">
              <w:rPr>
                <w:sz w:val="22"/>
                <w:szCs w:val="22"/>
                <w:lang w:val="fr-BE"/>
              </w:rPr>
              <w:t>CSS 9285, 2016</w:t>
            </w:r>
          </w:p>
        </w:tc>
        <w:tc>
          <w:tcPr>
            <w:tcW w:w="6945" w:type="dxa"/>
          </w:tcPr>
          <w:p w:rsidR="00D02138" w:rsidRPr="00D333A9" w:rsidRDefault="00D02138" w:rsidP="00D02138">
            <w:pPr>
              <w:rPr>
                <w:sz w:val="22"/>
                <w:szCs w:val="22"/>
                <w:lang w:val="fr-BE"/>
              </w:rPr>
            </w:pPr>
            <w:r w:rsidRPr="00D333A9">
              <w:rPr>
                <w:sz w:val="22"/>
                <w:szCs w:val="22"/>
                <w:lang w:val="fr-BE"/>
              </w:rPr>
              <w:t xml:space="preserve">Si consommation : </w:t>
            </w:r>
          </w:p>
          <w:p w:rsidR="00D02138" w:rsidRPr="00D333A9" w:rsidRDefault="00D02138" w:rsidP="00D02138">
            <w:pPr>
              <w:rPr>
                <w:sz w:val="22"/>
                <w:szCs w:val="22"/>
                <w:lang w:val="fr-BE"/>
              </w:rPr>
            </w:pPr>
            <w:r w:rsidRPr="00D333A9">
              <w:rPr>
                <w:sz w:val="22"/>
                <w:szCs w:val="22"/>
                <w:lang w:val="fr-BE"/>
              </w:rPr>
              <w:t xml:space="preserve">H : 2 / jour </w:t>
            </w:r>
          </w:p>
          <w:p w:rsidR="00D02138" w:rsidRPr="00D333A9" w:rsidRDefault="00D02138" w:rsidP="00D02138">
            <w:pPr>
              <w:rPr>
                <w:sz w:val="22"/>
                <w:lang w:val="fr-BE"/>
              </w:rPr>
            </w:pPr>
            <w:r w:rsidRPr="00D333A9">
              <w:rPr>
                <w:sz w:val="22"/>
                <w:szCs w:val="22"/>
                <w:lang w:val="fr-BE"/>
              </w:rPr>
              <w:t>F : 1 / jour</w:t>
            </w:r>
          </w:p>
        </w:tc>
      </w:tr>
      <w:tr w:rsidR="00D02138" w:rsidRPr="00D333A9" w:rsidTr="00733957">
        <w:tc>
          <w:tcPr>
            <w:tcW w:w="2122" w:type="dxa"/>
          </w:tcPr>
          <w:p w:rsidR="00C259DA" w:rsidRPr="00D333A9" w:rsidRDefault="00C259DA" w:rsidP="00C259DA">
            <w:pPr>
              <w:rPr>
                <w:sz w:val="22"/>
                <w:szCs w:val="22"/>
              </w:rPr>
            </w:pPr>
            <w:r w:rsidRPr="00D333A9">
              <w:rPr>
                <w:sz w:val="22"/>
                <w:szCs w:val="22"/>
              </w:rPr>
              <w:t>Gezondheidsraad</w:t>
            </w:r>
          </w:p>
          <w:p w:rsidR="00D02138" w:rsidRPr="00D333A9" w:rsidRDefault="00D02138" w:rsidP="00D02138">
            <w:pPr>
              <w:rPr>
                <w:sz w:val="22"/>
                <w:szCs w:val="22"/>
                <w:lang w:val="fr-BE"/>
              </w:rPr>
            </w:pPr>
            <w:r w:rsidRPr="00D333A9">
              <w:rPr>
                <w:sz w:val="22"/>
                <w:szCs w:val="22"/>
                <w:lang w:val="fr-BE"/>
              </w:rPr>
              <w:t>Pays Bas</w:t>
            </w:r>
            <w:r w:rsidR="00C259DA" w:rsidRPr="00D333A9">
              <w:rPr>
                <w:sz w:val="22"/>
                <w:szCs w:val="22"/>
                <w:lang w:val="fr-BE"/>
              </w:rPr>
              <w:t>, 2015</w:t>
            </w:r>
          </w:p>
        </w:tc>
        <w:tc>
          <w:tcPr>
            <w:tcW w:w="6945" w:type="dxa"/>
          </w:tcPr>
          <w:p w:rsidR="00D02138" w:rsidRPr="00D333A9" w:rsidRDefault="00D02138" w:rsidP="00D02138">
            <w:pPr>
              <w:rPr>
                <w:sz w:val="22"/>
                <w:szCs w:val="22"/>
                <w:lang w:val="fr-BE"/>
              </w:rPr>
            </w:pPr>
            <w:r w:rsidRPr="00D333A9">
              <w:rPr>
                <w:sz w:val="22"/>
                <w:szCs w:val="22"/>
                <w:lang w:val="fr-BE"/>
              </w:rPr>
              <w:t>Pas d’alcool</w:t>
            </w:r>
          </w:p>
          <w:p w:rsidR="00D02138" w:rsidRPr="00D333A9" w:rsidRDefault="00D02138" w:rsidP="00D02138">
            <w:pPr>
              <w:rPr>
                <w:sz w:val="22"/>
                <w:szCs w:val="22"/>
                <w:lang w:val="fr-BE"/>
              </w:rPr>
            </w:pPr>
            <w:r w:rsidRPr="00D333A9">
              <w:rPr>
                <w:sz w:val="22"/>
                <w:szCs w:val="22"/>
                <w:lang w:val="fr-BE"/>
              </w:rPr>
              <w:t>Si consommation :</w:t>
            </w:r>
          </w:p>
          <w:p w:rsidR="00D02138" w:rsidRPr="00D333A9" w:rsidRDefault="00D02138" w:rsidP="00D02138">
            <w:pPr>
              <w:rPr>
                <w:sz w:val="22"/>
                <w:szCs w:val="22"/>
                <w:lang w:val="fr-BE"/>
              </w:rPr>
            </w:pPr>
            <w:r w:rsidRPr="00D333A9">
              <w:rPr>
                <w:sz w:val="22"/>
                <w:szCs w:val="22"/>
                <w:lang w:val="fr-BE"/>
              </w:rPr>
              <w:t>1 / jour</w:t>
            </w:r>
          </w:p>
        </w:tc>
      </w:tr>
      <w:tr w:rsidR="00D02138" w:rsidRPr="00D333A9" w:rsidTr="00733957">
        <w:tc>
          <w:tcPr>
            <w:tcW w:w="2122" w:type="dxa"/>
          </w:tcPr>
          <w:p w:rsidR="00D02138" w:rsidRPr="00D333A9" w:rsidRDefault="00D02138" w:rsidP="00D02138">
            <w:pPr>
              <w:rPr>
                <w:sz w:val="22"/>
                <w:szCs w:val="22"/>
                <w:lang w:val="fr-BE"/>
              </w:rPr>
            </w:pPr>
            <w:r w:rsidRPr="00D333A9">
              <w:rPr>
                <w:sz w:val="22"/>
                <w:szCs w:val="22"/>
                <w:lang w:val="fr-BE"/>
              </w:rPr>
              <w:t>VAD</w:t>
            </w:r>
          </w:p>
        </w:tc>
        <w:tc>
          <w:tcPr>
            <w:tcW w:w="6945" w:type="dxa"/>
          </w:tcPr>
          <w:p w:rsidR="00D02138" w:rsidRPr="00D333A9" w:rsidRDefault="00D02138" w:rsidP="00D02138">
            <w:pPr>
              <w:rPr>
                <w:sz w:val="22"/>
                <w:szCs w:val="22"/>
                <w:lang w:val="fr-BE"/>
              </w:rPr>
            </w:pPr>
            <w:r w:rsidRPr="00D333A9">
              <w:rPr>
                <w:sz w:val="22"/>
                <w:szCs w:val="22"/>
                <w:lang w:val="fr-BE"/>
              </w:rPr>
              <w:t xml:space="preserve">10 / semaine </w:t>
            </w:r>
          </w:p>
          <w:p w:rsidR="00D02138" w:rsidRPr="00D333A9" w:rsidRDefault="00D02138" w:rsidP="00D02138">
            <w:pPr>
              <w:rPr>
                <w:sz w:val="22"/>
                <w:szCs w:val="22"/>
                <w:lang w:val="fr-BE"/>
              </w:rPr>
            </w:pPr>
            <w:r w:rsidRPr="00D333A9">
              <w:rPr>
                <w:sz w:val="22"/>
                <w:szCs w:val="22"/>
                <w:lang w:val="fr-BE"/>
              </w:rPr>
              <w:t xml:space="preserve">Sur plusieurs jours </w:t>
            </w:r>
          </w:p>
          <w:p w:rsidR="00D02138" w:rsidRPr="00D333A9" w:rsidRDefault="0075118A" w:rsidP="00D02138">
            <w:pPr>
              <w:rPr>
                <w:sz w:val="22"/>
                <w:szCs w:val="22"/>
                <w:lang w:val="fr-BE"/>
              </w:rPr>
            </w:pPr>
            <w:r>
              <w:rPr>
                <w:sz w:val="22"/>
                <w:szCs w:val="22"/>
                <w:lang w:val="fr-BE"/>
              </w:rPr>
              <w:t>Plusieurs j</w:t>
            </w:r>
            <w:r w:rsidR="00D02138" w:rsidRPr="00D333A9">
              <w:rPr>
                <w:sz w:val="22"/>
                <w:szCs w:val="22"/>
                <w:lang w:val="fr-BE"/>
              </w:rPr>
              <w:t>ours sans alcool</w:t>
            </w:r>
          </w:p>
        </w:tc>
      </w:tr>
      <w:tr w:rsidR="00D02138" w:rsidRPr="00D333A9" w:rsidTr="00733957">
        <w:tc>
          <w:tcPr>
            <w:tcW w:w="2122" w:type="dxa"/>
          </w:tcPr>
          <w:p w:rsidR="00D02138" w:rsidRPr="00D333A9" w:rsidRDefault="00D02138" w:rsidP="00D02138">
            <w:pPr>
              <w:rPr>
                <w:sz w:val="22"/>
                <w:szCs w:val="22"/>
                <w:lang w:val="fr-BE"/>
              </w:rPr>
            </w:pPr>
            <w:r w:rsidRPr="00D333A9">
              <w:rPr>
                <w:sz w:val="22"/>
                <w:szCs w:val="22"/>
                <w:lang w:val="fr-BE"/>
              </w:rPr>
              <w:t>Royaume-Unis</w:t>
            </w:r>
          </w:p>
        </w:tc>
        <w:tc>
          <w:tcPr>
            <w:tcW w:w="6945" w:type="dxa"/>
          </w:tcPr>
          <w:p w:rsidR="00D02138" w:rsidRPr="00D333A9" w:rsidRDefault="00D02138" w:rsidP="00D02138">
            <w:pPr>
              <w:rPr>
                <w:sz w:val="22"/>
                <w:szCs w:val="22"/>
                <w:lang w:val="fr-BE"/>
              </w:rPr>
            </w:pPr>
            <w:r w:rsidRPr="00D333A9">
              <w:rPr>
                <w:sz w:val="22"/>
                <w:szCs w:val="22"/>
                <w:lang w:val="fr-BE"/>
              </w:rPr>
              <w:t xml:space="preserve">11 / semaine </w:t>
            </w:r>
          </w:p>
          <w:p w:rsidR="00D02138" w:rsidRPr="00D333A9" w:rsidRDefault="00D02138" w:rsidP="00D02138">
            <w:pPr>
              <w:rPr>
                <w:sz w:val="22"/>
                <w:szCs w:val="22"/>
                <w:lang w:val="fr-BE"/>
              </w:rPr>
            </w:pPr>
            <w:r w:rsidRPr="00D333A9">
              <w:rPr>
                <w:sz w:val="22"/>
                <w:szCs w:val="22"/>
                <w:lang w:val="fr-BE"/>
              </w:rPr>
              <w:t xml:space="preserve">Minimum sur 3 jours </w:t>
            </w:r>
          </w:p>
          <w:p w:rsidR="00D02138" w:rsidRPr="00D333A9" w:rsidRDefault="0075118A" w:rsidP="00D02138">
            <w:pPr>
              <w:rPr>
                <w:sz w:val="22"/>
                <w:szCs w:val="22"/>
                <w:lang w:val="fr-BE"/>
              </w:rPr>
            </w:pPr>
            <w:r>
              <w:rPr>
                <w:sz w:val="22"/>
                <w:szCs w:val="22"/>
                <w:lang w:val="fr-BE"/>
              </w:rPr>
              <w:t>Plusieurs j</w:t>
            </w:r>
            <w:r w:rsidR="00D02138" w:rsidRPr="00D333A9">
              <w:rPr>
                <w:sz w:val="22"/>
                <w:szCs w:val="22"/>
                <w:lang w:val="fr-BE"/>
              </w:rPr>
              <w:t>ours sans alcool</w:t>
            </w:r>
          </w:p>
        </w:tc>
      </w:tr>
      <w:tr w:rsidR="00D02138" w:rsidRPr="00D333A9" w:rsidTr="00733957">
        <w:trPr>
          <w:trHeight w:val="812"/>
        </w:trPr>
        <w:tc>
          <w:tcPr>
            <w:tcW w:w="2122" w:type="dxa"/>
            <w:tcBorders>
              <w:bottom w:val="single" w:sz="4" w:space="0" w:color="auto"/>
            </w:tcBorders>
          </w:tcPr>
          <w:p w:rsidR="00D02138" w:rsidRPr="00D333A9" w:rsidRDefault="00C259DA" w:rsidP="00D02138">
            <w:pPr>
              <w:rPr>
                <w:sz w:val="22"/>
                <w:szCs w:val="22"/>
                <w:lang w:val="fr-BE"/>
              </w:rPr>
            </w:pPr>
            <w:r w:rsidRPr="00D333A9">
              <w:rPr>
                <w:sz w:val="22"/>
                <w:szCs w:val="22"/>
                <w:lang w:val="fr-BE"/>
              </w:rPr>
              <w:t>France, 2017</w:t>
            </w:r>
          </w:p>
        </w:tc>
        <w:tc>
          <w:tcPr>
            <w:tcW w:w="6945" w:type="dxa"/>
            <w:tcBorders>
              <w:bottom w:val="single" w:sz="4" w:space="0" w:color="auto"/>
            </w:tcBorders>
          </w:tcPr>
          <w:p w:rsidR="00D02138" w:rsidRPr="00D333A9" w:rsidRDefault="00D02138" w:rsidP="00D02138">
            <w:pPr>
              <w:rPr>
                <w:sz w:val="22"/>
                <w:szCs w:val="22"/>
                <w:lang w:val="fr-BE"/>
              </w:rPr>
            </w:pPr>
            <w:r w:rsidRPr="00D333A9">
              <w:rPr>
                <w:sz w:val="22"/>
                <w:szCs w:val="22"/>
                <w:lang w:val="fr-BE"/>
              </w:rPr>
              <w:t xml:space="preserve">10 / semaine </w:t>
            </w:r>
          </w:p>
          <w:p w:rsidR="00D02138" w:rsidRPr="00D333A9" w:rsidRDefault="00D02138" w:rsidP="00D02138">
            <w:pPr>
              <w:rPr>
                <w:sz w:val="22"/>
                <w:szCs w:val="22"/>
                <w:lang w:val="fr-BE"/>
              </w:rPr>
            </w:pPr>
            <w:r w:rsidRPr="00D333A9">
              <w:rPr>
                <w:sz w:val="22"/>
                <w:szCs w:val="22"/>
                <w:lang w:val="fr-BE"/>
              </w:rPr>
              <w:t xml:space="preserve">Maximum 2 / jours </w:t>
            </w:r>
          </w:p>
          <w:p w:rsidR="00D02138" w:rsidRPr="00D333A9" w:rsidRDefault="00235FBB" w:rsidP="00D02138">
            <w:pPr>
              <w:rPr>
                <w:sz w:val="22"/>
                <w:szCs w:val="22"/>
                <w:lang w:val="fr-BE"/>
              </w:rPr>
            </w:pPr>
            <w:r>
              <w:rPr>
                <w:sz w:val="22"/>
                <w:szCs w:val="22"/>
                <w:lang w:val="fr-BE"/>
              </w:rPr>
              <w:t>Plusieurs j</w:t>
            </w:r>
            <w:r w:rsidR="00D02138" w:rsidRPr="00D333A9">
              <w:rPr>
                <w:sz w:val="22"/>
                <w:szCs w:val="22"/>
                <w:lang w:val="fr-BE"/>
              </w:rPr>
              <w:t>ours sans alcool</w:t>
            </w:r>
          </w:p>
        </w:tc>
      </w:tr>
      <w:tr w:rsidR="00D02138" w:rsidRPr="005D32D9" w:rsidTr="00733957">
        <w:trPr>
          <w:trHeight w:val="812"/>
        </w:trPr>
        <w:tc>
          <w:tcPr>
            <w:tcW w:w="9067" w:type="dxa"/>
            <w:gridSpan w:val="2"/>
            <w:tcBorders>
              <w:bottom w:val="single" w:sz="4" w:space="0" w:color="auto"/>
            </w:tcBorders>
          </w:tcPr>
          <w:p w:rsidR="0094590D" w:rsidRPr="00D333A9" w:rsidRDefault="0094590D" w:rsidP="0094590D">
            <w:pPr>
              <w:rPr>
                <w:sz w:val="22"/>
                <w:szCs w:val="22"/>
                <w:lang w:val="fr-BE"/>
              </w:rPr>
            </w:pPr>
            <w:r w:rsidRPr="00D333A9">
              <w:rPr>
                <w:sz w:val="22"/>
                <w:szCs w:val="22"/>
                <w:lang w:val="fr-BE"/>
              </w:rPr>
              <w:t xml:space="preserve">Recommandations communes : </w:t>
            </w:r>
          </w:p>
          <w:p w:rsidR="0094590D" w:rsidRPr="00D333A9" w:rsidRDefault="0094590D" w:rsidP="00FA7A97">
            <w:pPr>
              <w:pStyle w:val="Paragraphedeliste"/>
              <w:rPr>
                <w:sz w:val="22"/>
                <w:szCs w:val="22"/>
                <w:lang w:val="fr-BE"/>
              </w:rPr>
            </w:pPr>
          </w:p>
          <w:p w:rsidR="00F768DF" w:rsidRPr="00D333A9" w:rsidRDefault="00D02138" w:rsidP="00D02138">
            <w:pPr>
              <w:pStyle w:val="Paragraphedeliste"/>
              <w:numPr>
                <w:ilvl w:val="0"/>
                <w:numId w:val="3"/>
              </w:numPr>
              <w:rPr>
                <w:sz w:val="22"/>
                <w:szCs w:val="22"/>
                <w:lang w:val="fr-BE"/>
              </w:rPr>
            </w:pPr>
            <w:r w:rsidRPr="00D333A9">
              <w:rPr>
                <w:sz w:val="22"/>
                <w:szCs w:val="22"/>
                <w:lang w:val="fr-BE"/>
              </w:rPr>
              <w:t>F</w:t>
            </w:r>
            <w:r w:rsidR="001254C2" w:rsidRPr="00D333A9">
              <w:rPr>
                <w:sz w:val="22"/>
                <w:szCs w:val="22"/>
                <w:lang w:val="fr-BE"/>
              </w:rPr>
              <w:t>emmes enceintes ou allaitantes, jeunes &lt; 18 ans ; c</w:t>
            </w:r>
            <w:r w:rsidRPr="00D333A9">
              <w:rPr>
                <w:sz w:val="22"/>
                <w:szCs w:val="22"/>
                <w:lang w:val="fr-BE"/>
              </w:rPr>
              <w:t>irconstances particulières (conduite, effor</w:t>
            </w:r>
            <w:r w:rsidR="008A5047">
              <w:rPr>
                <w:sz w:val="22"/>
                <w:szCs w:val="22"/>
                <w:lang w:val="fr-BE"/>
              </w:rPr>
              <w:t>ts physiques, etc.</w:t>
            </w:r>
            <w:r w:rsidRPr="00D333A9">
              <w:rPr>
                <w:sz w:val="22"/>
                <w:szCs w:val="22"/>
                <w:lang w:val="fr-BE"/>
              </w:rPr>
              <w:t>) : pas d’alcool</w:t>
            </w:r>
            <w:r w:rsidR="001254C2" w:rsidRPr="00D333A9">
              <w:rPr>
                <w:sz w:val="22"/>
                <w:szCs w:val="22"/>
                <w:lang w:val="fr-BE"/>
              </w:rPr>
              <w:t>.</w:t>
            </w:r>
          </w:p>
          <w:p w:rsidR="00F768DF" w:rsidRPr="00D333A9" w:rsidRDefault="00D02138" w:rsidP="00D02138">
            <w:pPr>
              <w:pStyle w:val="Paragraphedeliste"/>
              <w:numPr>
                <w:ilvl w:val="0"/>
                <w:numId w:val="3"/>
              </w:numPr>
              <w:rPr>
                <w:sz w:val="22"/>
                <w:szCs w:val="22"/>
                <w:lang w:val="fr-BE"/>
              </w:rPr>
            </w:pPr>
            <w:r w:rsidRPr="00D333A9">
              <w:rPr>
                <w:sz w:val="22"/>
                <w:szCs w:val="22"/>
                <w:lang w:val="fr-BE"/>
              </w:rPr>
              <w:t>Groupes cibles spécifiques (jeunes &lt; 25 ans, pers</w:t>
            </w:r>
            <w:r w:rsidR="008A5047">
              <w:rPr>
                <w:sz w:val="22"/>
                <w:szCs w:val="22"/>
                <w:lang w:val="fr-BE"/>
              </w:rPr>
              <w:t>onnes âgées, problèmes de santé, etc.</w:t>
            </w:r>
            <w:r w:rsidRPr="00D333A9">
              <w:rPr>
                <w:sz w:val="22"/>
                <w:szCs w:val="22"/>
                <w:lang w:val="fr-BE"/>
              </w:rPr>
              <w:t>) : demander avis à un professionnel de la santé</w:t>
            </w:r>
            <w:r w:rsidR="001254C2" w:rsidRPr="00D333A9">
              <w:rPr>
                <w:sz w:val="22"/>
                <w:szCs w:val="22"/>
                <w:lang w:val="fr-BE"/>
              </w:rPr>
              <w:t>.</w:t>
            </w:r>
          </w:p>
          <w:p w:rsidR="00D02138" w:rsidRPr="00D333A9" w:rsidRDefault="00D02138" w:rsidP="00D02138">
            <w:pPr>
              <w:pStyle w:val="Paragraphedeliste"/>
              <w:numPr>
                <w:ilvl w:val="0"/>
                <w:numId w:val="3"/>
              </w:numPr>
              <w:rPr>
                <w:sz w:val="22"/>
                <w:szCs w:val="22"/>
                <w:lang w:val="fr-BE"/>
              </w:rPr>
            </w:pPr>
            <w:r w:rsidRPr="00D333A9">
              <w:rPr>
                <w:sz w:val="22"/>
                <w:szCs w:val="22"/>
                <w:lang w:val="fr-BE"/>
              </w:rPr>
              <w:t>Recommandations comportementales (bo</w:t>
            </w:r>
            <w:r w:rsidR="008A5047">
              <w:rPr>
                <w:sz w:val="22"/>
                <w:szCs w:val="22"/>
                <w:lang w:val="fr-BE"/>
              </w:rPr>
              <w:t>ire lentement, boire de l'eau, etc.</w:t>
            </w:r>
            <w:r w:rsidRPr="00D333A9">
              <w:rPr>
                <w:sz w:val="22"/>
                <w:szCs w:val="22"/>
                <w:lang w:val="fr-BE"/>
              </w:rPr>
              <w:t>)</w:t>
            </w:r>
            <w:r w:rsidR="001254C2" w:rsidRPr="00D333A9">
              <w:rPr>
                <w:sz w:val="22"/>
                <w:szCs w:val="22"/>
                <w:lang w:val="fr-BE"/>
              </w:rPr>
              <w:t>.</w:t>
            </w:r>
          </w:p>
          <w:p w:rsidR="00F768DF" w:rsidRPr="00D333A9" w:rsidRDefault="00D02138" w:rsidP="00D02138">
            <w:pPr>
              <w:pStyle w:val="yiv4764875829msonormal"/>
              <w:numPr>
                <w:ilvl w:val="0"/>
                <w:numId w:val="3"/>
              </w:numPr>
              <w:jc w:val="both"/>
              <w:rPr>
                <w:rFonts w:ascii="Arial" w:eastAsiaTheme="minorEastAsia" w:hAnsi="Arial" w:cstheme="minorBidi"/>
                <w:sz w:val="22"/>
                <w:szCs w:val="22"/>
                <w:lang w:val="fr-BE" w:eastAsia="nl-NL"/>
              </w:rPr>
            </w:pPr>
            <w:r w:rsidRPr="00D333A9">
              <w:rPr>
                <w:rFonts w:ascii="Arial" w:eastAsiaTheme="minorEastAsia" w:hAnsi="Arial" w:cstheme="minorBidi"/>
                <w:sz w:val="22"/>
                <w:szCs w:val="22"/>
                <w:lang w:val="fr-BE" w:eastAsia="nl-NL"/>
              </w:rPr>
              <w:t xml:space="preserve">Importance d’accompagner ces repères de consommation d’autres mesures pour limiter l’offre (publicité, </w:t>
            </w:r>
            <w:r w:rsidR="008A5047">
              <w:rPr>
                <w:rFonts w:ascii="Arial" w:eastAsiaTheme="minorEastAsia" w:hAnsi="Arial" w:cstheme="minorBidi"/>
                <w:sz w:val="22"/>
                <w:szCs w:val="22"/>
                <w:lang w:val="fr-BE" w:eastAsia="nl-NL"/>
              </w:rPr>
              <w:t>prix, disponibilité, étiquetage, etc.</w:t>
            </w:r>
            <w:r w:rsidRPr="00D333A9">
              <w:rPr>
                <w:rFonts w:ascii="Arial" w:eastAsiaTheme="minorEastAsia" w:hAnsi="Arial" w:cstheme="minorBidi"/>
                <w:sz w:val="22"/>
                <w:szCs w:val="22"/>
                <w:lang w:val="fr-BE" w:eastAsia="nl-NL"/>
              </w:rPr>
              <w:t xml:space="preserve">). </w:t>
            </w:r>
          </w:p>
          <w:p w:rsidR="00D02138" w:rsidRPr="00D333A9" w:rsidRDefault="00D02138" w:rsidP="00D02138">
            <w:pPr>
              <w:pStyle w:val="yiv4764875829msonormal"/>
              <w:numPr>
                <w:ilvl w:val="0"/>
                <w:numId w:val="3"/>
              </w:numPr>
              <w:jc w:val="both"/>
              <w:rPr>
                <w:rFonts w:ascii="Arial" w:eastAsiaTheme="minorEastAsia" w:hAnsi="Arial" w:cstheme="minorBidi"/>
                <w:sz w:val="22"/>
                <w:szCs w:val="22"/>
                <w:lang w:val="fr-BE" w:eastAsia="nl-NL"/>
              </w:rPr>
            </w:pPr>
            <w:r w:rsidRPr="00D333A9">
              <w:rPr>
                <w:rFonts w:ascii="Arial" w:eastAsiaTheme="minorEastAsia" w:hAnsi="Arial" w:cstheme="minorBidi"/>
                <w:sz w:val="22"/>
                <w:szCs w:val="22"/>
                <w:lang w:val="fr-BE" w:eastAsia="nl-NL"/>
              </w:rPr>
              <w:t>Pour mettre en place ces mesures de manière cohérente, nécessité d’élaborer un plan d’action global</w:t>
            </w:r>
            <w:r w:rsidR="008A5047">
              <w:rPr>
                <w:rFonts w:ascii="Arial" w:eastAsiaTheme="minorEastAsia" w:hAnsi="Arial" w:cstheme="minorBidi"/>
                <w:sz w:val="22"/>
                <w:szCs w:val="22"/>
                <w:lang w:val="fr-BE" w:eastAsia="nl-NL"/>
              </w:rPr>
              <w:t>.</w:t>
            </w:r>
          </w:p>
        </w:tc>
      </w:tr>
    </w:tbl>
    <w:p w:rsidR="0025301D" w:rsidRDefault="0025301D" w:rsidP="0025301D">
      <w:pPr>
        <w:ind w:right="2"/>
        <w:rPr>
          <w:rFonts w:cs="Arial"/>
          <w:lang w:val="fr-BE"/>
        </w:rPr>
      </w:pPr>
      <w:r>
        <w:rPr>
          <w:rFonts w:cs="Arial"/>
          <w:lang w:val="fr-BE"/>
        </w:rPr>
        <w:t xml:space="preserve">F : Femmes ; H : Hommes </w:t>
      </w:r>
    </w:p>
    <w:p w:rsidR="009D0F92" w:rsidRPr="00D333A9" w:rsidRDefault="009D0F92" w:rsidP="009D0F92">
      <w:pPr>
        <w:rPr>
          <w:lang w:val="fr-BE"/>
        </w:rPr>
      </w:pPr>
    </w:p>
    <w:p w:rsidR="006400B1" w:rsidRPr="00D333A9" w:rsidRDefault="006400B1" w:rsidP="00584EFB">
      <w:pPr>
        <w:pStyle w:val="Titre3"/>
      </w:pPr>
      <w:r w:rsidRPr="00D333A9">
        <w:t xml:space="preserve">Introduction </w:t>
      </w:r>
    </w:p>
    <w:p w:rsidR="006F024E" w:rsidRPr="00D333A9" w:rsidRDefault="006F024E" w:rsidP="00550F70">
      <w:pPr>
        <w:rPr>
          <w:lang w:val="fr-BE"/>
        </w:rPr>
      </w:pPr>
      <w:r w:rsidRPr="00D333A9">
        <w:rPr>
          <w:lang w:val="fr-BE"/>
        </w:rPr>
        <w:t>Pour déterminer la quantité d’alcool qu’il est possible de boire en limitant les risques pour la santé, les professionnels de la santé utilisent actuellement souvent les repères de 14 unités d’alcool par semaine pour les femmes, et 21 pour les hommes. Plusieurs pays européens ont cependant récemment revu les critères de consommation à bas risque, notamment parce que le risque de cancer avait été jusqu’ici sous-estimé.</w:t>
      </w:r>
    </w:p>
    <w:p w:rsidR="00550F70" w:rsidRPr="00D333A9" w:rsidRDefault="00550F70" w:rsidP="00550F70">
      <w:pPr>
        <w:rPr>
          <w:rFonts w:cs="Arial"/>
          <w:lang w:val="fr-BE"/>
        </w:rPr>
      </w:pPr>
    </w:p>
    <w:p w:rsidR="00F2449B" w:rsidRPr="00D333A9" w:rsidRDefault="008B401A" w:rsidP="00663DFE">
      <w:pPr>
        <w:pStyle w:val="Titre3"/>
        <w:numPr>
          <w:ilvl w:val="0"/>
          <w:numId w:val="0"/>
        </w:numPr>
        <w:spacing w:after="0"/>
        <w:rPr>
          <w:rFonts w:cs="Arial"/>
          <w:lang w:val="fr-BE"/>
        </w:rPr>
      </w:pPr>
      <w:r w:rsidRPr="00D333A9">
        <w:rPr>
          <w:rFonts w:eastAsiaTheme="minorHAnsi" w:cs="Arial"/>
          <w:lang w:val="fr-BE"/>
        </w:rPr>
        <w:t>La “</w:t>
      </w:r>
      <w:r w:rsidRPr="00D333A9">
        <w:rPr>
          <w:rFonts w:eastAsiaTheme="minorHAnsi" w:cs="Arial"/>
          <w:i/>
          <w:lang w:val="fr-BE"/>
        </w:rPr>
        <w:t xml:space="preserve">Joint action </w:t>
      </w:r>
      <w:proofErr w:type="spellStart"/>
      <w:r w:rsidRPr="00D333A9">
        <w:rPr>
          <w:rFonts w:eastAsiaTheme="minorHAnsi" w:cs="Arial"/>
          <w:i/>
          <w:lang w:val="fr-BE"/>
        </w:rPr>
        <w:t>Rarha</w:t>
      </w:r>
      <w:proofErr w:type="spellEnd"/>
      <w:r w:rsidRPr="00D333A9">
        <w:rPr>
          <w:rFonts w:eastAsiaTheme="minorHAnsi" w:cs="Arial"/>
          <w:lang w:val="fr-BE"/>
        </w:rPr>
        <w:t xml:space="preserve">” (2016) a élaboré des principes de bonnes pratiques pour élaborer des </w:t>
      </w:r>
      <w:r w:rsidRPr="00D333A9">
        <w:rPr>
          <w:rFonts w:eastAsiaTheme="minorHAnsi" w:cs="Arial"/>
          <w:bCs w:val="0"/>
          <w:lang w:val="fr-BE"/>
        </w:rPr>
        <w:t xml:space="preserve">directives sur la consommation à bas risque. Ils ont d’abord identifié </w:t>
      </w:r>
      <w:r w:rsidR="00F2449B" w:rsidRPr="00D333A9">
        <w:rPr>
          <w:rFonts w:eastAsiaTheme="minorHAnsi" w:cs="Arial"/>
          <w:bCs w:val="0"/>
          <w:lang w:val="fr-BE"/>
        </w:rPr>
        <w:t>pourquoi les recommandations en terme</w:t>
      </w:r>
      <w:r w:rsidR="00235FBB">
        <w:rPr>
          <w:rFonts w:eastAsiaTheme="minorHAnsi" w:cs="Arial"/>
          <w:bCs w:val="0"/>
          <w:lang w:val="fr-BE"/>
        </w:rPr>
        <w:t>s</w:t>
      </w:r>
      <w:r w:rsidR="00F2449B" w:rsidRPr="00D333A9">
        <w:rPr>
          <w:rFonts w:eastAsiaTheme="minorHAnsi" w:cs="Arial"/>
          <w:bCs w:val="0"/>
          <w:lang w:val="fr-BE"/>
        </w:rPr>
        <w:t xml:space="preserve"> de consomm</w:t>
      </w:r>
      <w:r w:rsidRPr="00D333A9">
        <w:rPr>
          <w:rFonts w:eastAsiaTheme="minorHAnsi" w:cs="Arial"/>
          <w:bCs w:val="0"/>
          <w:lang w:val="fr-BE"/>
        </w:rPr>
        <w:t>ation d’alcool étaie</w:t>
      </w:r>
      <w:r w:rsidR="00F2449B" w:rsidRPr="00D333A9">
        <w:rPr>
          <w:rFonts w:eastAsiaTheme="minorHAnsi" w:cs="Arial"/>
          <w:bCs w:val="0"/>
          <w:lang w:val="fr-BE"/>
        </w:rPr>
        <w:t xml:space="preserve">nt différentes </w:t>
      </w:r>
      <w:r w:rsidR="00235FBB">
        <w:rPr>
          <w:rFonts w:eastAsiaTheme="minorHAnsi" w:cs="Arial"/>
          <w:bCs w:val="0"/>
          <w:lang w:val="fr-BE"/>
        </w:rPr>
        <w:t>au sein des pays européens pour chercher ensuite</w:t>
      </w:r>
      <w:r w:rsidRPr="00D333A9">
        <w:rPr>
          <w:rFonts w:eastAsiaTheme="minorHAnsi" w:cs="Arial"/>
          <w:bCs w:val="0"/>
          <w:lang w:val="fr-BE"/>
        </w:rPr>
        <w:t xml:space="preserve"> </w:t>
      </w:r>
      <w:r w:rsidR="00F2449B" w:rsidRPr="00D333A9">
        <w:rPr>
          <w:rFonts w:eastAsiaTheme="minorHAnsi" w:cs="Arial"/>
          <w:bCs w:val="0"/>
          <w:lang w:val="fr-BE"/>
        </w:rPr>
        <w:t>comment on pourrait atteindre un consensus concernant la consommation à bas risque.</w:t>
      </w:r>
      <w:r w:rsidR="00F2449B" w:rsidRPr="00D333A9">
        <w:rPr>
          <w:rFonts w:cs="Arial"/>
          <w:lang w:val="fr-BE"/>
        </w:rPr>
        <w:t xml:space="preserve"> </w:t>
      </w:r>
    </w:p>
    <w:p w:rsidR="00F2449B" w:rsidRPr="00D333A9" w:rsidRDefault="008B401A" w:rsidP="00F2449B">
      <w:pPr>
        <w:rPr>
          <w:rFonts w:cs="Arial"/>
          <w:lang w:val="fr-BE"/>
        </w:rPr>
      </w:pPr>
      <w:r w:rsidRPr="00D333A9">
        <w:rPr>
          <w:rFonts w:cs="Arial"/>
          <w:lang w:val="fr-BE"/>
        </w:rPr>
        <w:t xml:space="preserve">Pour cela, ils ont calculé </w:t>
      </w:r>
      <w:r w:rsidR="00235FBB">
        <w:rPr>
          <w:rFonts w:cs="Arial"/>
          <w:lang w:val="fr-BE"/>
        </w:rPr>
        <w:t>la</w:t>
      </w:r>
      <w:r w:rsidR="00444BA5" w:rsidRPr="00D333A9">
        <w:rPr>
          <w:rFonts w:cs="Arial"/>
          <w:lang w:val="fr-BE"/>
        </w:rPr>
        <w:t xml:space="preserve"> mortalité</w:t>
      </w:r>
      <w:r w:rsidR="00F2449B" w:rsidRPr="00D333A9">
        <w:rPr>
          <w:rFonts w:cs="Arial"/>
          <w:lang w:val="fr-BE"/>
        </w:rPr>
        <w:t xml:space="preserve"> attribuable à l’alcool dans plusieurs pays, selon la méthodologie utilisée en Australie </w:t>
      </w:r>
      <w:r w:rsidR="006400B1" w:rsidRPr="00D333A9">
        <w:rPr>
          <w:rFonts w:cs="Arial"/>
          <w:lang w:val="fr-BE"/>
        </w:rPr>
        <w:t>(Joint action RARHA, 2015</w:t>
      </w:r>
      <w:r w:rsidR="00F2449B" w:rsidRPr="00D333A9">
        <w:rPr>
          <w:rFonts w:cs="Arial"/>
          <w:lang w:val="fr-BE"/>
        </w:rPr>
        <w:t>).</w:t>
      </w:r>
    </w:p>
    <w:p w:rsidR="00F2449B" w:rsidRPr="00D333A9" w:rsidRDefault="006400B1" w:rsidP="006400B1">
      <w:pPr>
        <w:autoSpaceDE w:val="0"/>
        <w:autoSpaceDN w:val="0"/>
        <w:adjustRightInd w:val="0"/>
        <w:rPr>
          <w:rFonts w:cs="Arial"/>
          <w:lang w:val="fr-BE"/>
        </w:rPr>
      </w:pPr>
      <w:r w:rsidRPr="00D333A9">
        <w:rPr>
          <w:rFonts w:cs="Arial"/>
          <w:lang w:val="fr-BE"/>
        </w:rPr>
        <w:t xml:space="preserve">Ils sont arrivés à la conclusion que </w:t>
      </w:r>
      <w:r w:rsidR="00235FBB">
        <w:rPr>
          <w:rFonts w:cs="Arial"/>
          <w:lang w:val="fr-BE"/>
        </w:rPr>
        <w:t>la</w:t>
      </w:r>
      <w:r w:rsidR="00444BA5" w:rsidRPr="00D333A9">
        <w:rPr>
          <w:rFonts w:cs="Arial"/>
          <w:lang w:val="fr-BE"/>
        </w:rPr>
        <w:t xml:space="preserve"> mortalité</w:t>
      </w:r>
      <w:r w:rsidRPr="00D333A9">
        <w:rPr>
          <w:rFonts w:cs="Arial"/>
          <w:lang w:val="fr-BE"/>
        </w:rPr>
        <w:t xml:space="preserve"> attribuable à l'alcool était</w:t>
      </w:r>
      <w:r w:rsidR="00F2449B" w:rsidRPr="00D333A9">
        <w:rPr>
          <w:rFonts w:cs="Arial"/>
          <w:lang w:val="fr-BE"/>
        </w:rPr>
        <w:t xml:space="preserve"> de 1</w:t>
      </w:r>
      <w:r w:rsidR="008A5047">
        <w:rPr>
          <w:rFonts w:cs="Arial"/>
          <w:lang w:val="fr-BE"/>
        </w:rPr>
        <w:t xml:space="preserve"> </w:t>
      </w:r>
      <w:r w:rsidR="00F2449B" w:rsidRPr="00D333A9">
        <w:rPr>
          <w:rFonts w:cs="Arial"/>
          <w:lang w:val="fr-BE"/>
        </w:rPr>
        <w:t xml:space="preserve">% dans tous les pays lorsqu’on consomme en moyenne durant sa vie 10 grammes d’alcool par jour, malgré les différences </w:t>
      </w:r>
      <w:r w:rsidR="00235FBB">
        <w:rPr>
          <w:rFonts w:cs="Arial"/>
          <w:lang w:val="fr-BE"/>
        </w:rPr>
        <w:t>de</w:t>
      </w:r>
      <w:r w:rsidR="00F2449B" w:rsidRPr="00D333A9">
        <w:rPr>
          <w:rFonts w:cs="Arial"/>
          <w:lang w:val="fr-BE"/>
        </w:rPr>
        <w:t xml:space="preserve"> quantités et </w:t>
      </w:r>
      <w:r w:rsidR="00235FBB">
        <w:rPr>
          <w:rFonts w:cs="Arial"/>
          <w:lang w:val="fr-BE"/>
        </w:rPr>
        <w:t>de</w:t>
      </w:r>
      <w:r w:rsidR="00F2449B" w:rsidRPr="00D333A9">
        <w:rPr>
          <w:rFonts w:cs="Arial"/>
          <w:lang w:val="fr-BE"/>
        </w:rPr>
        <w:t xml:space="preserve"> modalités de consommation d’alcool selon les pays.</w:t>
      </w:r>
      <w:r w:rsidRPr="00D333A9">
        <w:rPr>
          <w:rFonts w:cs="Arial"/>
          <w:lang w:val="fr-BE"/>
        </w:rPr>
        <w:t xml:space="preserve"> Ils considèrent donc que </w:t>
      </w:r>
      <w:r w:rsidR="00235FBB">
        <w:rPr>
          <w:rFonts w:cs="Arial"/>
          <w:lang w:val="fr-BE"/>
        </w:rPr>
        <w:t>la mortalité attribuable</w:t>
      </w:r>
      <w:r w:rsidR="00F2449B" w:rsidRPr="00D333A9">
        <w:rPr>
          <w:rFonts w:cs="Arial"/>
          <w:lang w:val="fr-BE"/>
        </w:rPr>
        <w:t xml:space="preserve"> à l’alcool peut</w:t>
      </w:r>
      <w:r w:rsidRPr="00D333A9">
        <w:rPr>
          <w:rFonts w:cs="Arial"/>
          <w:lang w:val="fr-BE"/>
        </w:rPr>
        <w:t xml:space="preserve"> </w:t>
      </w:r>
      <w:r w:rsidR="00F2449B" w:rsidRPr="00D333A9">
        <w:rPr>
          <w:rFonts w:cs="Arial"/>
          <w:lang w:val="fr-BE"/>
        </w:rPr>
        <w:t>être utilisé</w:t>
      </w:r>
      <w:r w:rsidR="00235FBB">
        <w:rPr>
          <w:rFonts w:cs="Arial"/>
          <w:lang w:val="fr-BE"/>
        </w:rPr>
        <w:t>e</w:t>
      </w:r>
      <w:r w:rsidR="00F2449B" w:rsidRPr="00D333A9">
        <w:rPr>
          <w:rFonts w:cs="Arial"/>
          <w:lang w:val="fr-BE"/>
        </w:rPr>
        <w:t xml:space="preserve"> pour év</w:t>
      </w:r>
      <w:r w:rsidRPr="00D333A9">
        <w:rPr>
          <w:rFonts w:cs="Arial"/>
          <w:lang w:val="fr-BE"/>
        </w:rPr>
        <w:t xml:space="preserve">aluer le risque lié à l’alcool, considérant </w:t>
      </w:r>
      <w:r w:rsidR="00235FBB">
        <w:rPr>
          <w:rFonts w:cs="Arial"/>
          <w:lang w:val="fr-BE"/>
        </w:rPr>
        <w:t xml:space="preserve">par ailleurs l’apparition de ce risque </w:t>
      </w:r>
      <w:r w:rsidRPr="00D333A9">
        <w:rPr>
          <w:rFonts w:cs="Arial"/>
          <w:lang w:val="fr-BE"/>
        </w:rPr>
        <w:t>comme un</w:t>
      </w:r>
      <w:r w:rsidR="00235FBB">
        <w:rPr>
          <w:rFonts w:cs="Arial"/>
          <w:lang w:val="fr-BE"/>
        </w:rPr>
        <w:t xml:space="preserve"> seuil à ne pas dépasser pour rester dans les limites d’une </w:t>
      </w:r>
      <w:r w:rsidRPr="00D333A9">
        <w:rPr>
          <w:rFonts w:cs="Arial"/>
          <w:lang w:val="fr-BE"/>
        </w:rPr>
        <w:t xml:space="preserve">consommation à bas risque. </w:t>
      </w:r>
    </w:p>
    <w:p w:rsidR="006400B1" w:rsidRPr="00D333A9" w:rsidRDefault="006400B1" w:rsidP="006400B1">
      <w:pPr>
        <w:autoSpaceDE w:val="0"/>
        <w:autoSpaceDN w:val="0"/>
        <w:adjustRightInd w:val="0"/>
        <w:rPr>
          <w:rFonts w:cs="Arial"/>
          <w:lang w:val="fr-BE"/>
        </w:rPr>
      </w:pPr>
    </w:p>
    <w:p w:rsidR="00F2449B" w:rsidRPr="00D333A9" w:rsidRDefault="006400B1" w:rsidP="00F2449B">
      <w:pPr>
        <w:autoSpaceDE w:val="0"/>
        <w:autoSpaceDN w:val="0"/>
        <w:adjustRightInd w:val="0"/>
        <w:rPr>
          <w:rFonts w:cs="Arial"/>
          <w:lang w:val="fr-BE"/>
        </w:rPr>
      </w:pPr>
      <w:r w:rsidRPr="00D333A9">
        <w:rPr>
          <w:rFonts w:cs="Arial"/>
          <w:lang w:val="fr-BE"/>
        </w:rPr>
        <w:t xml:space="preserve">Le groupe cible des jeunes a par ailleurs été pris en compte séparément, et la bonne pratique considère que pour ce groupe </w:t>
      </w:r>
      <w:r w:rsidR="00F2449B" w:rsidRPr="00D333A9">
        <w:rPr>
          <w:rFonts w:cs="Arial"/>
          <w:lang w:val="fr-BE"/>
        </w:rPr>
        <w:t xml:space="preserve">les directives doivent se concentrer plus sur les conséquences à court terme (même si les risques à long terme doivent aussi être soulignés) et il faut se concentrer sur les risques </w:t>
      </w:r>
      <w:r w:rsidRPr="00D333A9">
        <w:rPr>
          <w:rFonts w:cs="Arial"/>
          <w:lang w:val="fr-BE"/>
        </w:rPr>
        <w:t>des</w:t>
      </w:r>
      <w:r w:rsidR="00F2449B" w:rsidRPr="00D333A9">
        <w:rPr>
          <w:rFonts w:cs="Arial"/>
          <w:lang w:val="fr-BE"/>
        </w:rPr>
        <w:t xml:space="preserve"> épisodes de forte consommation. </w:t>
      </w:r>
    </w:p>
    <w:p w:rsidR="006F024E" w:rsidRPr="00D333A9" w:rsidRDefault="006F024E" w:rsidP="00F2449B">
      <w:pPr>
        <w:autoSpaceDE w:val="0"/>
        <w:autoSpaceDN w:val="0"/>
        <w:adjustRightInd w:val="0"/>
        <w:rPr>
          <w:rFonts w:cs="Arial"/>
          <w:lang w:val="fr-BE"/>
        </w:rPr>
      </w:pPr>
    </w:p>
    <w:p w:rsidR="006F024E" w:rsidRPr="00D333A9" w:rsidRDefault="006611F6" w:rsidP="00F2449B">
      <w:pPr>
        <w:autoSpaceDE w:val="0"/>
        <w:autoSpaceDN w:val="0"/>
        <w:adjustRightInd w:val="0"/>
        <w:rPr>
          <w:rFonts w:cs="Arial"/>
          <w:lang w:val="fr-BE"/>
        </w:rPr>
      </w:pPr>
      <w:r w:rsidRPr="00D333A9">
        <w:rPr>
          <w:lang w:val="fr-BE"/>
        </w:rPr>
        <w:t>Les résultats de plusieurs directives publiées ces dernières années, et utiles pour élaborer l’avis du CSS, sont présentés ci-dessous</w:t>
      </w:r>
      <w:r w:rsidR="006F024E" w:rsidRPr="00D333A9">
        <w:rPr>
          <w:lang w:val="fr-BE"/>
        </w:rPr>
        <w:t xml:space="preserve">. </w:t>
      </w:r>
    </w:p>
    <w:p w:rsidR="00F2449B" w:rsidRPr="00D333A9" w:rsidRDefault="00F2449B" w:rsidP="00F2449B">
      <w:pPr>
        <w:rPr>
          <w:lang w:val="fr-BE"/>
        </w:rPr>
      </w:pPr>
    </w:p>
    <w:p w:rsidR="00B07709" w:rsidRPr="00D333A9" w:rsidRDefault="00B07709" w:rsidP="00584EFB">
      <w:pPr>
        <w:pStyle w:val="Titre3"/>
        <w:rPr>
          <w:lang w:val="fr-BE"/>
        </w:rPr>
      </w:pPr>
      <w:r w:rsidRPr="00D333A9">
        <w:rPr>
          <w:lang w:val="fr-BE"/>
        </w:rPr>
        <w:t xml:space="preserve">Avis d’experts relatif à l'évolution du discours public en matière de </w:t>
      </w:r>
      <w:r w:rsidR="006358DE">
        <w:rPr>
          <w:lang w:val="fr-BE"/>
        </w:rPr>
        <w:t>consommation d'alcool en France</w:t>
      </w:r>
    </w:p>
    <w:p w:rsidR="00E966BC" w:rsidRPr="00D333A9" w:rsidRDefault="00E966BC" w:rsidP="00E966BC">
      <w:pPr>
        <w:rPr>
          <w:rFonts w:cs="Arial"/>
          <w:bCs/>
          <w:lang w:val="fr-BE"/>
        </w:rPr>
      </w:pPr>
      <w:r w:rsidRPr="00D333A9">
        <w:rPr>
          <w:lang w:val="fr-BE"/>
        </w:rPr>
        <w:t xml:space="preserve">En France, un groupe d'experts de Santé Publique France et de l'Institut National du Cancer a publié un avis en mai 2017 (Santé Publique France, 2017). Cet avis détaillé est notamment étayé par deux études externalisées, dont </w:t>
      </w:r>
      <w:r w:rsidR="00235FBB">
        <w:rPr>
          <w:lang w:val="fr-BE"/>
        </w:rPr>
        <w:t>l’une concerne</w:t>
      </w:r>
      <w:r w:rsidRPr="00D333A9">
        <w:rPr>
          <w:lang w:val="fr-BE"/>
        </w:rPr>
        <w:t xml:space="preserve"> l'analyse des risques de la relation entre la consommation d'alcool et la santé spécifiquement pour la France, </w:t>
      </w:r>
      <w:r w:rsidR="00235FBB">
        <w:rPr>
          <w:lang w:val="fr-BE"/>
        </w:rPr>
        <w:t xml:space="preserve">et </w:t>
      </w:r>
      <w:r w:rsidRPr="00D333A9">
        <w:rPr>
          <w:lang w:val="fr-BE"/>
        </w:rPr>
        <w:t xml:space="preserve">a été menée par le </w:t>
      </w:r>
      <w:r w:rsidRPr="00D333A9">
        <w:rPr>
          <w:i/>
          <w:lang w:val="fr-BE"/>
        </w:rPr>
        <w:t xml:space="preserve">Centre for Addiction and Mental </w:t>
      </w:r>
      <w:proofErr w:type="spellStart"/>
      <w:r w:rsidRPr="00D333A9">
        <w:rPr>
          <w:i/>
          <w:lang w:val="fr-BE"/>
        </w:rPr>
        <w:t>Health</w:t>
      </w:r>
      <w:proofErr w:type="spellEnd"/>
      <w:r w:rsidR="00235FBB">
        <w:rPr>
          <w:lang w:val="fr-BE"/>
        </w:rPr>
        <w:t xml:space="preserve"> (CAMH) (Toronto, Canada). Cette étude</w:t>
      </w:r>
      <w:r w:rsidRPr="00D333A9">
        <w:rPr>
          <w:lang w:val="fr-BE"/>
        </w:rPr>
        <w:t xml:space="preserve"> a utilisé comme méthodologie </w:t>
      </w:r>
      <w:r w:rsidR="000750F8" w:rsidRPr="00D333A9">
        <w:rPr>
          <w:lang w:val="fr-BE"/>
        </w:rPr>
        <w:t>l</w:t>
      </w:r>
      <w:r w:rsidRPr="00D333A9">
        <w:rPr>
          <w:lang w:val="fr-BE"/>
        </w:rPr>
        <w:t>es recommandations faites dans le cadre de l'étude RARHA. Cette analyse des risques basée sur des données spécifiques pour la France estime le « </w:t>
      </w:r>
      <w:proofErr w:type="spellStart"/>
      <w:r w:rsidRPr="00D333A9">
        <w:rPr>
          <w:bCs/>
          <w:i/>
          <w:lang w:val="fr-BE"/>
        </w:rPr>
        <w:t>lifetime</w:t>
      </w:r>
      <w:proofErr w:type="spellEnd"/>
      <w:r w:rsidRPr="00D333A9">
        <w:rPr>
          <w:bCs/>
          <w:i/>
          <w:lang w:val="fr-BE"/>
        </w:rPr>
        <w:t xml:space="preserve"> </w:t>
      </w:r>
      <w:proofErr w:type="spellStart"/>
      <w:r w:rsidRPr="00D333A9">
        <w:rPr>
          <w:bCs/>
          <w:i/>
          <w:lang w:val="fr-BE"/>
        </w:rPr>
        <w:t>risk</w:t>
      </w:r>
      <w:proofErr w:type="spellEnd"/>
      <w:r w:rsidR="00235FBB">
        <w:rPr>
          <w:lang w:val="fr-BE"/>
        </w:rPr>
        <w:t> » de mortalité attribuable</w:t>
      </w:r>
      <w:r w:rsidRPr="00D333A9">
        <w:rPr>
          <w:lang w:val="fr-BE"/>
        </w:rPr>
        <w:t xml:space="preserve"> à la consommation d'alcool. Les résultats montrent que le « </w:t>
      </w:r>
      <w:proofErr w:type="spellStart"/>
      <w:r w:rsidRPr="00D333A9">
        <w:rPr>
          <w:bCs/>
          <w:i/>
          <w:lang w:val="fr-BE"/>
        </w:rPr>
        <w:t>lifetime</w:t>
      </w:r>
      <w:proofErr w:type="spellEnd"/>
      <w:r w:rsidRPr="00D333A9">
        <w:rPr>
          <w:bCs/>
          <w:i/>
          <w:lang w:val="fr-BE"/>
        </w:rPr>
        <w:t xml:space="preserve"> </w:t>
      </w:r>
      <w:proofErr w:type="spellStart"/>
      <w:r w:rsidRPr="00D333A9">
        <w:rPr>
          <w:bCs/>
          <w:i/>
          <w:lang w:val="fr-BE"/>
        </w:rPr>
        <w:t>risk</w:t>
      </w:r>
      <w:proofErr w:type="spellEnd"/>
      <w:r w:rsidRPr="00D333A9">
        <w:rPr>
          <w:lang w:val="fr-BE"/>
        </w:rPr>
        <w:t xml:space="preserve"> » de mortalité </w:t>
      </w:r>
      <w:r w:rsidR="00235FBB">
        <w:rPr>
          <w:lang w:val="fr-BE"/>
        </w:rPr>
        <w:t>attribuable</w:t>
      </w:r>
      <w:r w:rsidRPr="00D333A9">
        <w:rPr>
          <w:lang w:val="fr-BE"/>
        </w:rPr>
        <w:t xml:space="preserve"> à la consommation d'alcool augmente plus rapidement chez les femmes que chez les hommes et atteint déjà 1 % en cas de consommation d'alcool de 15 g/jour pour les femmes et de 25 g/jour pour les hommes. Une certaine « protection » a été observée en cas de consommation de 0 à &lt; 5 g/jour. Ce type d'observations aurait été fait dans tous les pays où ce modèle d'évaluation des risques est utilisé, bien que l'effet protecteur à la valeur limite de &lt; 5 g/jour varie fortement d'un pays à l'autre, probablement en fonction de la part de la mortalité cardiovasculaire dans la mortalité totale.</w:t>
      </w:r>
    </w:p>
    <w:p w:rsidR="00E966BC" w:rsidRPr="00D333A9" w:rsidRDefault="00E966BC" w:rsidP="00E966BC">
      <w:pPr>
        <w:rPr>
          <w:rFonts w:cs="Arial"/>
          <w:bCs/>
          <w:lang w:val="fr-BE"/>
        </w:rPr>
      </w:pPr>
      <w:r w:rsidRPr="00D333A9">
        <w:rPr>
          <w:lang w:val="fr-BE"/>
        </w:rPr>
        <w:t xml:space="preserve">En outre, une étude qualitative portant sur la perception, par la population française, du risque de la consommation d'alcool et des recommandations à ce sujet a été externalisée. </w:t>
      </w:r>
    </w:p>
    <w:p w:rsidR="00161B6E" w:rsidRPr="00D333A9" w:rsidRDefault="00161B6E" w:rsidP="00B07709">
      <w:pPr>
        <w:rPr>
          <w:rFonts w:cs="Arial"/>
          <w:bCs/>
          <w:lang w:val="fr-BE"/>
        </w:rPr>
      </w:pPr>
    </w:p>
    <w:p w:rsidR="00161B6E" w:rsidRPr="00D333A9" w:rsidRDefault="00161B6E" w:rsidP="004B7F97">
      <w:pPr>
        <w:rPr>
          <w:rFonts w:cs="Arial"/>
          <w:bCs/>
          <w:lang w:val="fr-BE"/>
        </w:rPr>
      </w:pPr>
      <w:r w:rsidRPr="00D333A9">
        <w:rPr>
          <w:rFonts w:cs="Arial"/>
          <w:bCs/>
          <w:lang w:val="fr-BE"/>
        </w:rPr>
        <w:t xml:space="preserve">Comme dans les autres pays, les experts préconisent de nouveaux repères à la baisse, en particulier en raison du risque de cancer qui avait été négligé dans </w:t>
      </w:r>
      <w:r w:rsidR="004B7F97" w:rsidRPr="00D333A9">
        <w:rPr>
          <w:rFonts w:cs="Arial"/>
          <w:bCs/>
          <w:lang w:val="fr-BE"/>
        </w:rPr>
        <w:t>les recommandations initiales. Selon ce rapport, toute consommation d’alcool est à risque pour la santé, et l</w:t>
      </w:r>
      <w:r w:rsidRPr="00D333A9">
        <w:rPr>
          <w:rFonts w:cs="Arial"/>
          <w:bCs/>
          <w:lang w:val="fr-BE"/>
        </w:rPr>
        <w:t xml:space="preserve">es risques liés à la consommation d’alcool au cours de la vie augmentent avec la </w:t>
      </w:r>
      <w:r w:rsidR="004B7F97" w:rsidRPr="00D333A9">
        <w:rPr>
          <w:rFonts w:cs="Arial"/>
          <w:bCs/>
          <w:lang w:val="fr-BE"/>
        </w:rPr>
        <w:t>quantité consommée :</w:t>
      </w:r>
    </w:p>
    <w:p w:rsidR="00161B6E" w:rsidRPr="00D333A9" w:rsidRDefault="00161B6E" w:rsidP="00E03DD1">
      <w:pPr>
        <w:pStyle w:val="Paragraphedeliste"/>
        <w:numPr>
          <w:ilvl w:val="0"/>
          <w:numId w:val="3"/>
        </w:numPr>
        <w:autoSpaceDE w:val="0"/>
        <w:autoSpaceDN w:val="0"/>
        <w:adjustRightInd w:val="0"/>
        <w:rPr>
          <w:rFonts w:cs="Arial"/>
          <w:bCs/>
          <w:lang w:val="fr-BE"/>
        </w:rPr>
      </w:pPr>
      <w:r w:rsidRPr="00D333A9">
        <w:rPr>
          <w:rFonts w:cs="Arial"/>
          <w:bCs/>
          <w:lang w:val="fr-BE"/>
        </w:rPr>
        <w:t>à long terme, la consommation d’alcool est une cause de morbidité et de mortalité pour certaines maladies chroniques comme la cirrhose du foie, certains cancers comme ceux des voies aérodigestives, du foie et du sein et certaines maladies cardiovasculaires, comme l'hypertension artérielle  et l' AVC ;</w:t>
      </w:r>
    </w:p>
    <w:p w:rsidR="004B7F97" w:rsidRPr="00D333A9" w:rsidRDefault="00161B6E" w:rsidP="00FA7C90">
      <w:pPr>
        <w:pStyle w:val="Paragraphedeliste"/>
        <w:numPr>
          <w:ilvl w:val="0"/>
          <w:numId w:val="3"/>
        </w:numPr>
        <w:autoSpaceDE w:val="0"/>
        <w:autoSpaceDN w:val="0"/>
        <w:adjustRightInd w:val="0"/>
        <w:rPr>
          <w:rFonts w:cs="Arial"/>
          <w:bCs/>
          <w:lang w:val="fr-BE"/>
        </w:rPr>
      </w:pPr>
      <w:r w:rsidRPr="00D333A9">
        <w:rPr>
          <w:rFonts w:cs="Arial"/>
          <w:bCs/>
          <w:lang w:val="fr-BE"/>
        </w:rPr>
        <w:t>à court terme, la consommation d'alcool est responsable de traumatismes intentionnels et non intentionnels, notamment des accidents pouvant causer des blessures (et la mort dans certains cas), la mauvaise évaluation des situations à risque et la perte du contrôle de soi.</w:t>
      </w:r>
    </w:p>
    <w:p w:rsidR="00161B6E" w:rsidRDefault="00161B6E" w:rsidP="004B7F97">
      <w:pPr>
        <w:pStyle w:val="Paragraphedeliste"/>
        <w:autoSpaceDE w:val="0"/>
        <w:autoSpaceDN w:val="0"/>
        <w:adjustRightInd w:val="0"/>
        <w:rPr>
          <w:rFonts w:cs="Arial"/>
          <w:bCs/>
          <w:lang w:val="fr-BE"/>
        </w:rPr>
      </w:pPr>
      <w:r w:rsidRPr="00D333A9">
        <w:rPr>
          <w:rFonts w:cs="Arial"/>
          <w:bCs/>
          <w:lang w:val="fr-BE"/>
        </w:rPr>
        <w:t>C'est en particulier vrai en cas de consommation ponctuelle importante.</w:t>
      </w:r>
    </w:p>
    <w:p w:rsidR="008A5047" w:rsidRDefault="008A5047" w:rsidP="004B7F97">
      <w:pPr>
        <w:pStyle w:val="Paragraphedeliste"/>
        <w:autoSpaceDE w:val="0"/>
        <w:autoSpaceDN w:val="0"/>
        <w:adjustRightInd w:val="0"/>
        <w:rPr>
          <w:rFonts w:cs="Arial"/>
          <w:bCs/>
          <w:lang w:val="fr-BE"/>
        </w:rPr>
      </w:pPr>
    </w:p>
    <w:p w:rsidR="008A5047" w:rsidRDefault="008A5047" w:rsidP="004B7F97">
      <w:pPr>
        <w:pStyle w:val="Paragraphedeliste"/>
        <w:autoSpaceDE w:val="0"/>
        <w:autoSpaceDN w:val="0"/>
        <w:adjustRightInd w:val="0"/>
        <w:rPr>
          <w:rFonts w:cs="Arial"/>
          <w:bCs/>
          <w:lang w:val="fr-BE"/>
        </w:rPr>
      </w:pPr>
    </w:p>
    <w:p w:rsidR="008A5047" w:rsidRPr="00D333A9" w:rsidRDefault="008A5047" w:rsidP="004B7F97">
      <w:pPr>
        <w:pStyle w:val="Paragraphedeliste"/>
        <w:autoSpaceDE w:val="0"/>
        <w:autoSpaceDN w:val="0"/>
        <w:adjustRightInd w:val="0"/>
        <w:rPr>
          <w:rFonts w:cs="Arial"/>
          <w:bCs/>
          <w:lang w:val="fr-BE"/>
        </w:rPr>
      </w:pPr>
    </w:p>
    <w:p w:rsidR="00161B6E" w:rsidRPr="00D333A9" w:rsidRDefault="00161B6E" w:rsidP="00161B6E">
      <w:pPr>
        <w:autoSpaceDE w:val="0"/>
        <w:autoSpaceDN w:val="0"/>
        <w:adjustRightInd w:val="0"/>
        <w:rPr>
          <w:rFonts w:cs="Arial"/>
          <w:bCs/>
          <w:lang w:val="fr-BE"/>
        </w:rPr>
      </w:pPr>
    </w:p>
    <w:p w:rsidR="00E966BC" w:rsidRPr="00D333A9" w:rsidRDefault="00E966BC" w:rsidP="00E966BC">
      <w:pPr>
        <w:rPr>
          <w:rFonts w:cs="Arial"/>
          <w:bCs/>
          <w:lang w:val="fr-BE"/>
        </w:rPr>
      </w:pPr>
      <w:r w:rsidRPr="00D333A9">
        <w:rPr>
          <w:lang w:val="fr-BE"/>
        </w:rPr>
        <w:t xml:space="preserve">En ce qui concerne la consommation d'alcool et les habitudes en matière d'alcool, le groupe d'experts </w:t>
      </w:r>
      <w:r w:rsidR="00235FBB">
        <w:rPr>
          <w:lang w:val="fr-BE"/>
        </w:rPr>
        <w:t>français</w:t>
      </w:r>
      <w:r w:rsidRPr="00D333A9">
        <w:rPr>
          <w:lang w:val="fr-BE"/>
        </w:rPr>
        <w:t xml:space="preserve"> parvient aux recommandations suivantes :</w:t>
      </w:r>
    </w:p>
    <w:p w:rsidR="00E966BC" w:rsidRPr="00D333A9" w:rsidRDefault="00E966BC" w:rsidP="00E966BC">
      <w:pPr>
        <w:rPr>
          <w:rFonts w:cs="Arial"/>
          <w:bCs/>
          <w:lang w:val="fr-BE"/>
        </w:rPr>
      </w:pPr>
    </w:p>
    <w:p w:rsidR="00E966BC" w:rsidRPr="00D333A9" w:rsidRDefault="00E966BC" w:rsidP="00E966BC">
      <w:pPr>
        <w:pStyle w:val="Paragraphedeliste"/>
        <w:numPr>
          <w:ilvl w:val="0"/>
          <w:numId w:val="38"/>
        </w:numPr>
        <w:rPr>
          <w:rFonts w:cs="Arial"/>
          <w:bCs/>
          <w:lang w:val="fr-FR"/>
        </w:rPr>
      </w:pPr>
      <w:r w:rsidRPr="00D333A9">
        <w:rPr>
          <w:lang w:val="fr-BE"/>
        </w:rPr>
        <w:t>En cas de consommation d'alcool, il est recommandé pour limiter les risques pour votre santé au cours de la vie :</w:t>
      </w:r>
    </w:p>
    <w:p w:rsidR="00E966BC" w:rsidRPr="00D333A9" w:rsidRDefault="00E966BC" w:rsidP="00E966BC">
      <w:pPr>
        <w:pStyle w:val="Paragraphedeliste"/>
        <w:numPr>
          <w:ilvl w:val="1"/>
          <w:numId w:val="38"/>
        </w:numPr>
        <w:rPr>
          <w:rFonts w:cs="Arial"/>
          <w:bCs/>
          <w:lang w:val="fr-BE"/>
        </w:rPr>
      </w:pPr>
      <w:r w:rsidRPr="00D333A9">
        <w:rPr>
          <w:lang w:val="fr-BE"/>
        </w:rPr>
        <w:t xml:space="preserve">de ne pas consommer plus de 10 verres standard par semaine et pas plus de 2 verres standard par jour ; </w:t>
      </w:r>
    </w:p>
    <w:p w:rsidR="00E966BC" w:rsidRPr="00D333A9" w:rsidRDefault="00E966BC" w:rsidP="00E966BC">
      <w:pPr>
        <w:pStyle w:val="Paragraphedeliste"/>
        <w:numPr>
          <w:ilvl w:val="1"/>
          <w:numId w:val="38"/>
        </w:numPr>
        <w:rPr>
          <w:rFonts w:cs="Arial"/>
          <w:bCs/>
          <w:lang w:val="fr-BE"/>
        </w:rPr>
      </w:pPr>
      <w:r w:rsidRPr="00D333A9">
        <w:rPr>
          <w:lang w:val="fr-BE"/>
        </w:rPr>
        <w:t xml:space="preserve">d'avoir des jours dans la semaine sans consommation. </w:t>
      </w:r>
    </w:p>
    <w:p w:rsidR="00E966BC" w:rsidRPr="00D333A9" w:rsidRDefault="00E966BC" w:rsidP="00E966BC">
      <w:pPr>
        <w:pStyle w:val="Paragraphedeliste"/>
        <w:numPr>
          <w:ilvl w:val="0"/>
          <w:numId w:val="38"/>
        </w:numPr>
        <w:rPr>
          <w:rFonts w:cs="Arial"/>
          <w:bCs/>
          <w:lang w:val="fr-BE"/>
        </w:rPr>
      </w:pPr>
      <w:r w:rsidRPr="00D333A9">
        <w:rPr>
          <w:lang w:val="fr-BE"/>
        </w:rPr>
        <w:t>Pour les femmes qui envisagent une grossesse, qui sont enceintes ou qui allaitent : pour limiter les risques pour leur santé et celle de leur enfant, l'option la plus sûre est de ne pas consommer d'alcool.</w:t>
      </w:r>
    </w:p>
    <w:p w:rsidR="00E966BC" w:rsidRPr="00D333A9" w:rsidRDefault="00E966BC" w:rsidP="00E966BC">
      <w:pPr>
        <w:pStyle w:val="Paragraphedeliste"/>
        <w:numPr>
          <w:ilvl w:val="0"/>
          <w:numId w:val="38"/>
        </w:numPr>
        <w:rPr>
          <w:rFonts w:cs="Arial"/>
          <w:bCs/>
          <w:lang w:val="fr-BE"/>
        </w:rPr>
      </w:pPr>
      <w:r w:rsidRPr="00D333A9">
        <w:rPr>
          <w:lang w:val="fr-BE"/>
        </w:rPr>
        <w:t>Pour les jeunes et les adolescents : pour limiter les risques pour la santé, l'option la plus sûre est de ne pas consommer d'alcool.</w:t>
      </w:r>
    </w:p>
    <w:p w:rsidR="00E966BC" w:rsidRPr="00D333A9" w:rsidRDefault="00E966BC" w:rsidP="00E966BC">
      <w:pPr>
        <w:pStyle w:val="Paragraphedeliste"/>
        <w:numPr>
          <w:ilvl w:val="0"/>
          <w:numId w:val="38"/>
        </w:numPr>
        <w:rPr>
          <w:rFonts w:cs="Arial"/>
          <w:bCs/>
          <w:lang w:val="fr-BE"/>
        </w:rPr>
      </w:pPr>
      <w:r w:rsidRPr="00D333A9">
        <w:rPr>
          <w:lang w:val="fr-BE"/>
        </w:rPr>
        <w:t>Il est recommandé de ne pas consommer d'alcool en cas :</w:t>
      </w:r>
    </w:p>
    <w:p w:rsidR="00E966BC" w:rsidRPr="00D333A9" w:rsidRDefault="00E966BC" w:rsidP="00E966BC">
      <w:pPr>
        <w:pStyle w:val="Paragraphedeliste"/>
        <w:numPr>
          <w:ilvl w:val="1"/>
          <w:numId w:val="38"/>
        </w:numPr>
        <w:rPr>
          <w:rFonts w:cs="Arial"/>
          <w:bCs/>
        </w:rPr>
      </w:pPr>
      <w:r w:rsidRPr="00D333A9">
        <w:t xml:space="preserve">de </w:t>
      </w:r>
      <w:proofErr w:type="spellStart"/>
      <w:r w:rsidRPr="00D333A9">
        <w:t>conduite</w:t>
      </w:r>
      <w:proofErr w:type="spellEnd"/>
      <w:r w:rsidRPr="00D333A9">
        <w:t xml:space="preserve"> </w:t>
      </w:r>
      <w:proofErr w:type="gramStart"/>
      <w:r w:rsidRPr="00D333A9">
        <w:t>automobile ;</w:t>
      </w:r>
      <w:proofErr w:type="gramEnd"/>
    </w:p>
    <w:p w:rsidR="00E966BC" w:rsidRPr="00D333A9" w:rsidRDefault="00E966BC" w:rsidP="00E966BC">
      <w:pPr>
        <w:pStyle w:val="Paragraphedeliste"/>
        <w:numPr>
          <w:ilvl w:val="1"/>
          <w:numId w:val="38"/>
        </w:numPr>
        <w:rPr>
          <w:rFonts w:cs="Arial"/>
          <w:bCs/>
          <w:lang w:val="fr-BE"/>
        </w:rPr>
      </w:pPr>
      <w:r w:rsidRPr="00D333A9">
        <w:rPr>
          <w:lang w:val="fr-BE"/>
        </w:rPr>
        <w:t>de manipulation d'outils ou de machines ;</w:t>
      </w:r>
    </w:p>
    <w:p w:rsidR="00E966BC" w:rsidRPr="00D333A9" w:rsidRDefault="00E966BC" w:rsidP="00E966BC">
      <w:pPr>
        <w:pStyle w:val="Paragraphedeliste"/>
        <w:numPr>
          <w:ilvl w:val="1"/>
          <w:numId w:val="38"/>
        </w:numPr>
        <w:rPr>
          <w:rFonts w:cs="Arial"/>
          <w:bCs/>
          <w:lang w:val="fr-BE"/>
        </w:rPr>
      </w:pPr>
      <w:r w:rsidRPr="00D333A9">
        <w:rPr>
          <w:lang w:val="fr-BE"/>
        </w:rPr>
        <w:t>de pratique de certains sports ;</w:t>
      </w:r>
    </w:p>
    <w:p w:rsidR="00E966BC" w:rsidRPr="00D333A9" w:rsidRDefault="00E966BC" w:rsidP="00E966BC">
      <w:pPr>
        <w:pStyle w:val="Paragraphedeliste"/>
        <w:numPr>
          <w:ilvl w:val="1"/>
          <w:numId w:val="38"/>
        </w:numPr>
        <w:rPr>
          <w:rFonts w:cs="Arial"/>
          <w:bCs/>
          <w:lang w:val="fr-BE"/>
        </w:rPr>
      </w:pPr>
      <w:r w:rsidRPr="00D333A9">
        <w:rPr>
          <w:lang w:val="fr-BE"/>
        </w:rPr>
        <w:t>de consommation de certains médicaments ;</w:t>
      </w:r>
    </w:p>
    <w:p w:rsidR="00E966BC" w:rsidRPr="00D333A9" w:rsidRDefault="00E966BC" w:rsidP="00E966BC">
      <w:pPr>
        <w:pStyle w:val="Paragraphedeliste"/>
        <w:numPr>
          <w:ilvl w:val="1"/>
          <w:numId w:val="38"/>
        </w:numPr>
        <w:rPr>
          <w:rFonts w:cs="Arial"/>
          <w:bCs/>
        </w:rPr>
      </w:pPr>
      <w:proofErr w:type="spellStart"/>
      <w:r w:rsidRPr="00D333A9">
        <w:t>d'existence</w:t>
      </w:r>
      <w:proofErr w:type="spellEnd"/>
      <w:r w:rsidRPr="00D333A9">
        <w:t xml:space="preserve"> de </w:t>
      </w:r>
      <w:proofErr w:type="spellStart"/>
      <w:r w:rsidRPr="00D333A9">
        <w:t>certaines</w:t>
      </w:r>
      <w:proofErr w:type="spellEnd"/>
      <w:r w:rsidRPr="00D333A9">
        <w:t xml:space="preserve"> pathologies.</w:t>
      </w:r>
    </w:p>
    <w:p w:rsidR="004B7F97" w:rsidRPr="00D333A9" w:rsidRDefault="004B7F97" w:rsidP="004B7F97">
      <w:pPr>
        <w:rPr>
          <w:rFonts w:cs="Arial"/>
          <w:bCs/>
          <w:lang w:val="fr-BE"/>
        </w:rPr>
      </w:pPr>
    </w:p>
    <w:p w:rsidR="00161B6E" w:rsidRPr="00D333A9" w:rsidRDefault="00161B6E" w:rsidP="00161B6E">
      <w:pPr>
        <w:autoSpaceDE w:val="0"/>
        <w:autoSpaceDN w:val="0"/>
        <w:adjustRightInd w:val="0"/>
        <w:rPr>
          <w:rFonts w:cs="Arial"/>
          <w:bCs/>
          <w:lang w:val="fr-BE"/>
        </w:rPr>
      </w:pPr>
      <w:r w:rsidRPr="00D333A9">
        <w:rPr>
          <w:rFonts w:cs="Arial"/>
          <w:bCs/>
          <w:lang w:val="fr-BE"/>
        </w:rPr>
        <w:t>Et pour chaque occasion de consommation, il est recommandé de :</w:t>
      </w:r>
    </w:p>
    <w:p w:rsidR="00161B6E" w:rsidRPr="00D333A9" w:rsidRDefault="00161B6E" w:rsidP="00E03DD1">
      <w:pPr>
        <w:pStyle w:val="Paragraphedeliste"/>
        <w:numPr>
          <w:ilvl w:val="0"/>
          <w:numId w:val="3"/>
        </w:numPr>
        <w:autoSpaceDE w:val="0"/>
        <w:autoSpaceDN w:val="0"/>
        <w:adjustRightInd w:val="0"/>
        <w:rPr>
          <w:rFonts w:cs="Arial"/>
          <w:bCs/>
          <w:lang w:val="fr-BE"/>
        </w:rPr>
      </w:pPr>
      <w:r w:rsidRPr="00D333A9">
        <w:rPr>
          <w:rFonts w:cs="Arial"/>
          <w:bCs/>
          <w:lang w:val="fr-BE"/>
        </w:rPr>
        <w:t xml:space="preserve">réduire la quantité totale d’alcool </w:t>
      </w:r>
      <w:r w:rsidR="001254C2" w:rsidRPr="00D333A9">
        <w:rPr>
          <w:rFonts w:cs="Arial"/>
          <w:bCs/>
          <w:lang w:val="fr-BE"/>
        </w:rPr>
        <w:t>bue</w:t>
      </w:r>
      <w:r w:rsidRPr="00D333A9">
        <w:rPr>
          <w:rFonts w:cs="Arial"/>
          <w:bCs/>
          <w:lang w:val="fr-BE"/>
        </w:rPr>
        <w:t xml:space="preserve"> ;</w:t>
      </w:r>
    </w:p>
    <w:p w:rsidR="00161B6E" w:rsidRPr="00D333A9" w:rsidRDefault="00161B6E" w:rsidP="00E03DD1">
      <w:pPr>
        <w:pStyle w:val="Paragraphedeliste"/>
        <w:numPr>
          <w:ilvl w:val="0"/>
          <w:numId w:val="3"/>
        </w:numPr>
        <w:autoSpaceDE w:val="0"/>
        <w:autoSpaceDN w:val="0"/>
        <w:adjustRightInd w:val="0"/>
        <w:rPr>
          <w:rFonts w:cs="Arial"/>
          <w:bCs/>
          <w:lang w:val="fr-BE"/>
        </w:rPr>
      </w:pPr>
      <w:r w:rsidRPr="00D333A9">
        <w:rPr>
          <w:rFonts w:cs="Arial"/>
          <w:bCs/>
          <w:lang w:val="fr-BE"/>
        </w:rPr>
        <w:t>boire lentement, en mangeant et en alternant avec de l’eau ;</w:t>
      </w:r>
    </w:p>
    <w:p w:rsidR="00161B6E" w:rsidRPr="00D333A9" w:rsidRDefault="00161B6E" w:rsidP="00E03DD1">
      <w:pPr>
        <w:pStyle w:val="Paragraphedeliste"/>
        <w:numPr>
          <w:ilvl w:val="0"/>
          <w:numId w:val="3"/>
        </w:numPr>
        <w:autoSpaceDE w:val="0"/>
        <w:autoSpaceDN w:val="0"/>
        <w:adjustRightInd w:val="0"/>
        <w:rPr>
          <w:rFonts w:cs="Arial"/>
          <w:bCs/>
          <w:lang w:val="fr-BE"/>
        </w:rPr>
      </w:pPr>
      <w:r w:rsidRPr="00D333A9">
        <w:rPr>
          <w:rFonts w:cs="Arial"/>
          <w:bCs/>
          <w:lang w:val="fr-BE"/>
        </w:rPr>
        <w:t>éviter les lieux et les activités à risque ;</w:t>
      </w:r>
    </w:p>
    <w:p w:rsidR="00161B6E" w:rsidRPr="00D333A9" w:rsidRDefault="00161B6E" w:rsidP="00E03DD1">
      <w:pPr>
        <w:pStyle w:val="Paragraphedeliste"/>
        <w:numPr>
          <w:ilvl w:val="0"/>
          <w:numId w:val="3"/>
        </w:numPr>
        <w:autoSpaceDE w:val="0"/>
        <w:autoSpaceDN w:val="0"/>
        <w:adjustRightInd w:val="0"/>
        <w:rPr>
          <w:rFonts w:cs="Arial"/>
          <w:bCs/>
          <w:lang w:val="fr-BE"/>
        </w:rPr>
      </w:pPr>
      <w:r w:rsidRPr="00D333A9">
        <w:rPr>
          <w:rFonts w:cs="Arial"/>
          <w:bCs/>
          <w:lang w:val="fr-BE"/>
        </w:rPr>
        <w:t xml:space="preserve">s'assurer que </w:t>
      </w:r>
      <w:r w:rsidR="001254C2" w:rsidRPr="00D333A9">
        <w:rPr>
          <w:rFonts w:cs="Arial"/>
          <w:bCs/>
          <w:lang w:val="fr-BE"/>
        </w:rPr>
        <w:t>l’on a</w:t>
      </w:r>
      <w:r w:rsidRPr="00D333A9">
        <w:rPr>
          <w:rFonts w:cs="Arial"/>
          <w:bCs/>
          <w:lang w:val="fr-BE"/>
        </w:rPr>
        <w:t xml:space="preserve"> des personnes </w:t>
      </w:r>
      <w:r w:rsidR="001254C2" w:rsidRPr="00D333A9">
        <w:rPr>
          <w:rFonts w:cs="Arial"/>
          <w:bCs/>
          <w:lang w:val="fr-BE"/>
        </w:rPr>
        <w:t>que l’on connait près de soi et que l’on peut</w:t>
      </w:r>
      <w:r w:rsidRPr="00D333A9">
        <w:rPr>
          <w:rFonts w:cs="Arial"/>
          <w:bCs/>
          <w:lang w:val="fr-BE"/>
        </w:rPr>
        <w:t xml:space="preserve"> rentrer chez </w:t>
      </w:r>
      <w:r w:rsidR="00EB2DAA" w:rsidRPr="00D333A9">
        <w:rPr>
          <w:rFonts w:cs="Arial"/>
          <w:bCs/>
          <w:lang w:val="fr-BE"/>
        </w:rPr>
        <w:t xml:space="preserve">soi </w:t>
      </w:r>
      <w:r w:rsidRPr="00D333A9">
        <w:rPr>
          <w:rFonts w:cs="Arial"/>
          <w:bCs/>
          <w:lang w:val="fr-BE"/>
        </w:rPr>
        <w:t>en toute sécurité.</w:t>
      </w:r>
    </w:p>
    <w:p w:rsidR="00B07709" w:rsidRPr="00D333A9" w:rsidRDefault="00B07709" w:rsidP="00B07709">
      <w:pPr>
        <w:rPr>
          <w:rFonts w:cs="Arial"/>
          <w:lang w:val="fr-BE"/>
        </w:rPr>
      </w:pPr>
    </w:p>
    <w:p w:rsidR="00B07709" w:rsidRPr="00D333A9" w:rsidRDefault="00E966BC" w:rsidP="00584EFB">
      <w:pPr>
        <w:pStyle w:val="Titre3"/>
        <w:rPr>
          <w:lang w:val="nl-NL"/>
        </w:rPr>
      </w:pPr>
      <w:r w:rsidRPr="00D333A9">
        <w:rPr>
          <w:lang w:val="nl-NL"/>
        </w:rPr>
        <w:t>Directive</w:t>
      </w:r>
      <w:r w:rsidR="00B07709" w:rsidRPr="00D333A9">
        <w:rPr>
          <w:lang w:val="nl-NL"/>
        </w:rPr>
        <w:t xml:space="preserve"> </w:t>
      </w:r>
      <w:r w:rsidR="00B07709" w:rsidRPr="00D333A9">
        <w:rPr>
          <w:i/>
          <w:lang w:val="nl-NL"/>
        </w:rPr>
        <w:t xml:space="preserve">Goede Voeding </w:t>
      </w:r>
      <w:r w:rsidR="00B07709" w:rsidRPr="00D333A9">
        <w:rPr>
          <w:lang w:val="nl-NL"/>
        </w:rPr>
        <w:t xml:space="preserve">2015 </w:t>
      </w:r>
      <w:r w:rsidRPr="00D333A9">
        <w:rPr>
          <w:lang w:val="nl-NL"/>
        </w:rPr>
        <w:t xml:space="preserve">du </w:t>
      </w:r>
      <w:r w:rsidR="00AE0C08" w:rsidRPr="00D333A9">
        <w:rPr>
          <w:i/>
          <w:lang w:val="nl-NL"/>
        </w:rPr>
        <w:t>Gezondheidsraad Nederland</w:t>
      </w:r>
      <w:r w:rsidR="00AE0C08" w:rsidRPr="00D333A9">
        <w:rPr>
          <w:lang w:val="nl-NL"/>
        </w:rPr>
        <w:t xml:space="preserve"> (Gezondheidsraad, 2015</w:t>
      </w:r>
      <w:r w:rsidR="006358DE">
        <w:rPr>
          <w:lang w:val="nl-NL"/>
        </w:rPr>
        <w:t>)</w:t>
      </w:r>
    </w:p>
    <w:p w:rsidR="00E966BC" w:rsidRPr="00D333A9" w:rsidRDefault="00E966BC" w:rsidP="00E966BC">
      <w:pPr>
        <w:rPr>
          <w:rFonts w:cs="Arial"/>
          <w:lang w:val="fr-BE"/>
        </w:rPr>
      </w:pPr>
      <w:r w:rsidRPr="00D333A9">
        <w:rPr>
          <w:lang w:val="fr-BE"/>
        </w:rPr>
        <w:t xml:space="preserve">Au cours des dernières années, le </w:t>
      </w:r>
      <w:proofErr w:type="spellStart"/>
      <w:r w:rsidRPr="00D333A9">
        <w:rPr>
          <w:i/>
          <w:lang w:val="fr-BE"/>
        </w:rPr>
        <w:t>Gezondheidsraad</w:t>
      </w:r>
      <w:proofErr w:type="spellEnd"/>
      <w:r w:rsidRPr="00D333A9">
        <w:rPr>
          <w:i/>
          <w:lang w:val="fr-BE"/>
        </w:rPr>
        <w:t xml:space="preserve"> Nederland </w:t>
      </w:r>
      <w:r w:rsidRPr="00D333A9">
        <w:rPr>
          <w:lang w:val="fr-BE"/>
        </w:rPr>
        <w:t>a réalisé une étude systématique des relations entre l'alimentation et le risque de maladies classées parmi les dix principales maladies aux Pays-Bas en termes de mortalité, d'années de vie perdue et de morbidité (maladies coronariennes, accidents vasculaires cérébraux, insuffisance cardiaque, diabète de type 2, bronchopneumopathie chronique obstructive, cancer du sein, cancer du côlon, cancer du poumon, démence et déclin cognitif, dépression). Seuls des études de cohorte, des essais randomisés contrôlés et des méta-analyses ont été inclus dans l'étude. L'étude s'est également intéressée aux boissons alcoolisées.</w:t>
      </w:r>
    </w:p>
    <w:p w:rsidR="00E966BC" w:rsidRPr="00D333A9" w:rsidRDefault="00E966BC" w:rsidP="00E966BC">
      <w:pPr>
        <w:rPr>
          <w:rFonts w:cs="Arial"/>
          <w:lang w:val="fr-BE"/>
        </w:rPr>
      </w:pPr>
      <w:r w:rsidRPr="00D333A9">
        <w:rPr>
          <w:lang w:val="fr-BE"/>
        </w:rPr>
        <w:t xml:space="preserve">Le </w:t>
      </w:r>
      <w:proofErr w:type="spellStart"/>
      <w:r w:rsidRPr="00D333A9">
        <w:rPr>
          <w:i/>
          <w:lang w:val="fr-BE"/>
        </w:rPr>
        <w:t>Gezondheidsraad</w:t>
      </w:r>
      <w:proofErr w:type="spellEnd"/>
      <w:r w:rsidRPr="00D333A9">
        <w:rPr>
          <w:i/>
          <w:lang w:val="fr-BE"/>
        </w:rPr>
        <w:t xml:space="preserve"> Nederland</w:t>
      </w:r>
      <w:r w:rsidRPr="00D333A9">
        <w:rPr>
          <w:lang w:val="fr-BE"/>
        </w:rPr>
        <w:t xml:space="preserve"> a conclu qu'il peut être montré de manière convaincante qu'une consommation élevée d'alcool (&gt; 30 g/jour) augmente le risque </w:t>
      </w:r>
      <w:r w:rsidR="00E63922" w:rsidRPr="00D333A9">
        <w:rPr>
          <w:lang w:val="fr-BE"/>
        </w:rPr>
        <w:t>d’AVC</w:t>
      </w:r>
      <w:r w:rsidRPr="00D333A9">
        <w:rPr>
          <w:lang w:val="fr-BE"/>
        </w:rPr>
        <w:t xml:space="preserve"> et que le « </w:t>
      </w:r>
      <w:proofErr w:type="spellStart"/>
      <w:r w:rsidRPr="00D333A9">
        <w:rPr>
          <w:i/>
          <w:lang w:val="fr-BE"/>
        </w:rPr>
        <w:t>binge</w:t>
      </w:r>
      <w:proofErr w:type="spellEnd"/>
      <w:r w:rsidRPr="00D333A9">
        <w:rPr>
          <w:i/>
          <w:lang w:val="fr-BE"/>
        </w:rPr>
        <w:t xml:space="preserve"> </w:t>
      </w:r>
      <w:proofErr w:type="spellStart"/>
      <w:r w:rsidRPr="00D333A9">
        <w:rPr>
          <w:i/>
          <w:lang w:val="fr-BE"/>
        </w:rPr>
        <w:t>drinking</w:t>
      </w:r>
      <w:proofErr w:type="spellEnd"/>
      <w:r w:rsidRPr="00D333A9">
        <w:rPr>
          <w:lang w:val="fr-BE"/>
        </w:rPr>
        <w:t> » (≥ 60 g/occasion) augmente le risque de maladie coronarienne. En outre, une consommation élevée d'alcool est associée à un risque accru de cancer du sein et de cancer du côlon.</w:t>
      </w:r>
    </w:p>
    <w:p w:rsidR="00E966BC" w:rsidRPr="00D333A9" w:rsidRDefault="00E966BC" w:rsidP="00E966BC">
      <w:pPr>
        <w:rPr>
          <w:rFonts w:cs="Arial"/>
          <w:lang w:val="fr-BE"/>
        </w:rPr>
      </w:pPr>
      <w:r w:rsidRPr="00D333A9">
        <w:rPr>
          <w:lang w:val="fr-BE"/>
        </w:rPr>
        <w:t xml:space="preserve">Il peut être admis qu'une consommation modérée d'alcool (&gt; 0 à &lt; 15 g/jour) est associée à un risque plus faible de maladies cardiovasculaires, de diabète et de démence, mais aussi que le risque de cancer du sein augmente déjà en cas de consommation modérée d'alcool. </w:t>
      </w:r>
    </w:p>
    <w:p w:rsidR="00E966BC" w:rsidRPr="00D333A9" w:rsidRDefault="00E966BC" w:rsidP="00E966BC">
      <w:pPr>
        <w:rPr>
          <w:rFonts w:cs="Arial"/>
          <w:lang w:val="fr-BE"/>
        </w:rPr>
      </w:pPr>
      <w:r w:rsidRPr="00D333A9">
        <w:rPr>
          <w:lang w:val="fr-BE"/>
        </w:rPr>
        <w:t xml:space="preserve">Le </w:t>
      </w:r>
      <w:proofErr w:type="spellStart"/>
      <w:r w:rsidRPr="00D333A9">
        <w:rPr>
          <w:i/>
          <w:lang w:val="fr-BE"/>
        </w:rPr>
        <w:t>Gezondheidsraad</w:t>
      </w:r>
      <w:proofErr w:type="spellEnd"/>
      <w:r w:rsidRPr="00D333A9">
        <w:rPr>
          <w:i/>
          <w:lang w:val="fr-BE"/>
        </w:rPr>
        <w:t xml:space="preserve"> Nederland</w:t>
      </w:r>
      <w:r w:rsidRPr="00D333A9">
        <w:rPr>
          <w:lang w:val="fr-BE"/>
        </w:rPr>
        <w:t xml:space="preserve"> signale, en outre, que la littérature internationale révèle qu'en plus des maladies chroniques décrites, la consommation d'alcool entraîne un risque accru d'accidents, de dépendance, de problèmes psychosociaux, de cirrhose hépatique et de tumeurs du cou et de la tête.</w:t>
      </w:r>
    </w:p>
    <w:p w:rsidR="00E966BC" w:rsidRPr="00D333A9" w:rsidRDefault="00E966BC" w:rsidP="00E966BC">
      <w:pPr>
        <w:rPr>
          <w:rFonts w:cs="Arial"/>
          <w:lang w:val="fr-BE"/>
        </w:rPr>
      </w:pPr>
      <w:r w:rsidRPr="00D333A9">
        <w:rPr>
          <w:lang w:val="fr-BE"/>
        </w:rPr>
        <w:t xml:space="preserve">La directive de synthèse du </w:t>
      </w:r>
      <w:proofErr w:type="spellStart"/>
      <w:r w:rsidRPr="00D333A9">
        <w:rPr>
          <w:i/>
          <w:lang w:val="fr-BE"/>
        </w:rPr>
        <w:t>Gezondheidsraad</w:t>
      </w:r>
      <w:proofErr w:type="spellEnd"/>
      <w:r w:rsidRPr="00D333A9">
        <w:rPr>
          <w:i/>
          <w:lang w:val="fr-BE"/>
        </w:rPr>
        <w:t xml:space="preserve"> Nederland</w:t>
      </w:r>
      <w:r w:rsidRPr="00D333A9">
        <w:rPr>
          <w:lang w:val="fr-BE"/>
        </w:rPr>
        <w:t xml:space="preserve"> concernant la consommation d'alcool est :</w:t>
      </w:r>
    </w:p>
    <w:p w:rsidR="00E966BC" w:rsidRPr="00D333A9" w:rsidRDefault="00E966BC" w:rsidP="00E966BC">
      <w:pPr>
        <w:rPr>
          <w:rFonts w:cs="Arial"/>
          <w:lang w:val="fr-BE"/>
        </w:rPr>
      </w:pPr>
      <w:r w:rsidRPr="00D333A9">
        <w:rPr>
          <w:lang w:val="fr-BE"/>
        </w:rPr>
        <w:t>« Ne buvez pas d'alcool ou, en tout cas, pas plus d'un verre par jour ».</w:t>
      </w:r>
    </w:p>
    <w:p w:rsidR="00B07709" w:rsidRPr="00D333A9" w:rsidRDefault="00B07709" w:rsidP="00B07709">
      <w:pPr>
        <w:pStyle w:val="Paragraphedeliste"/>
        <w:rPr>
          <w:rFonts w:cs="Arial"/>
          <w:lang w:val="fr-BE"/>
        </w:rPr>
      </w:pPr>
    </w:p>
    <w:p w:rsidR="00B07709" w:rsidRPr="00D333A9" w:rsidRDefault="006323A3" w:rsidP="00584EFB">
      <w:pPr>
        <w:pStyle w:val="Titre3"/>
        <w:rPr>
          <w:lang w:val="fr-BE"/>
        </w:rPr>
      </w:pPr>
      <w:r w:rsidRPr="00D333A9">
        <w:rPr>
          <w:lang w:val="fr-BE"/>
        </w:rPr>
        <w:t>Consommation d’alcool au Royaume</w:t>
      </w:r>
      <w:r w:rsidR="00490B08" w:rsidRPr="00D333A9">
        <w:rPr>
          <w:lang w:val="fr-BE"/>
        </w:rPr>
        <w:t>-U</w:t>
      </w:r>
      <w:r w:rsidRPr="00D333A9">
        <w:rPr>
          <w:lang w:val="fr-BE"/>
        </w:rPr>
        <w:t>ni</w:t>
      </w:r>
    </w:p>
    <w:p w:rsidR="0038341F" w:rsidRPr="00D333A9" w:rsidRDefault="000F3ED6" w:rsidP="000F3ED6">
      <w:pPr>
        <w:pStyle w:val="Default"/>
        <w:jc w:val="both"/>
        <w:rPr>
          <w:rFonts w:ascii="Arial" w:hAnsi="Arial" w:cs="Arial"/>
          <w:bCs/>
          <w:color w:val="auto"/>
          <w:sz w:val="22"/>
          <w:szCs w:val="22"/>
          <w:lang w:val="fr-BE"/>
        </w:rPr>
      </w:pPr>
      <w:r w:rsidRPr="00D333A9">
        <w:rPr>
          <w:rFonts w:ascii="Arial" w:hAnsi="Arial" w:cs="Arial"/>
          <w:bCs/>
          <w:color w:val="auto"/>
          <w:sz w:val="22"/>
          <w:szCs w:val="22"/>
          <w:lang w:val="fr-BE"/>
        </w:rPr>
        <w:t xml:space="preserve">Le </w:t>
      </w:r>
      <w:r w:rsidRPr="00D333A9">
        <w:rPr>
          <w:rFonts w:ascii="Arial" w:hAnsi="Arial" w:cs="Arial"/>
          <w:bCs/>
          <w:i/>
          <w:color w:val="auto"/>
          <w:sz w:val="22"/>
          <w:szCs w:val="22"/>
          <w:lang w:val="fr-BE"/>
        </w:rPr>
        <w:t xml:space="preserve">UK Chief </w:t>
      </w:r>
      <w:proofErr w:type="spellStart"/>
      <w:r w:rsidRPr="00D333A9">
        <w:rPr>
          <w:rFonts w:ascii="Arial" w:hAnsi="Arial" w:cs="Arial"/>
          <w:bCs/>
          <w:i/>
          <w:color w:val="auto"/>
          <w:sz w:val="22"/>
          <w:szCs w:val="22"/>
          <w:lang w:val="fr-BE"/>
        </w:rPr>
        <w:t>Medical</w:t>
      </w:r>
      <w:proofErr w:type="spellEnd"/>
      <w:r w:rsidRPr="00D333A9">
        <w:rPr>
          <w:rFonts w:ascii="Arial" w:hAnsi="Arial" w:cs="Arial"/>
          <w:bCs/>
          <w:i/>
          <w:color w:val="auto"/>
          <w:sz w:val="22"/>
          <w:szCs w:val="22"/>
          <w:lang w:val="fr-BE"/>
        </w:rPr>
        <w:t xml:space="preserve"> </w:t>
      </w:r>
      <w:proofErr w:type="spellStart"/>
      <w:r w:rsidRPr="00D333A9">
        <w:rPr>
          <w:rFonts w:ascii="Arial" w:hAnsi="Arial" w:cs="Arial"/>
          <w:bCs/>
          <w:i/>
          <w:color w:val="auto"/>
          <w:sz w:val="22"/>
          <w:szCs w:val="22"/>
          <w:lang w:val="fr-BE"/>
        </w:rPr>
        <w:t>Officers</w:t>
      </w:r>
      <w:proofErr w:type="spellEnd"/>
      <w:r w:rsidRPr="00D333A9">
        <w:rPr>
          <w:rFonts w:ascii="Arial" w:hAnsi="Arial" w:cs="Arial"/>
          <w:bCs/>
          <w:color w:val="auto"/>
          <w:sz w:val="22"/>
          <w:szCs w:val="22"/>
          <w:lang w:val="fr-BE"/>
        </w:rPr>
        <w:t xml:space="preserve"> a élaboré des directives de consomma</w:t>
      </w:r>
      <w:r w:rsidR="006323A3" w:rsidRPr="00D333A9">
        <w:rPr>
          <w:rFonts w:ascii="Arial" w:hAnsi="Arial" w:cs="Arial"/>
          <w:bCs/>
          <w:color w:val="auto"/>
          <w:sz w:val="22"/>
          <w:szCs w:val="22"/>
          <w:lang w:val="fr-BE"/>
        </w:rPr>
        <w:t>tion à bas risque, sur base du</w:t>
      </w:r>
      <w:r w:rsidRPr="00D333A9">
        <w:rPr>
          <w:rFonts w:ascii="Arial" w:hAnsi="Arial" w:cs="Arial"/>
          <w:bCs/>
          <w:color w:val="auto"/>
          <w:sz w:val="22"/>
          <w:szCs w:val="22"/>
          <w:lang w:val="fr-BE"/>
        </w:rPr>
        <w:t xml:space="preserve"> rapport d’un « </w:t>
      </w:r>
      <w:r w:rsidRPr="00D333A9">
        <w:rPr>
          <w:rFonts w:ascii="Arial" w:hAnsi="Arial" w:cs="Arial"/>
          <w:bCs/>
          <w:i/>
          <w:color w:val="auto"/>
          <w:sz w:val="22"/>
          <w:szCs w:val="22"/>
          <w:lang w:val="fr-BE"/>
        </w:rPr>
        <w:t xml:space="preserve">Guidelines </w:t>
      </w:r>
      <w:proofErr w:type="spellStart"/>
      <w:r w:rsidRPr="00D333A9">
        <w:rPr>
          <w:rFonts w:ascii="Arial" w:hAnsi="Arial" w:cs="Arial"/>
          <w:bCs/>
          <w:i/>
          <w:color w:val="auto"/>
          <w:sz w:val="22"/>
          <w:szCs w:val="22"/>
          <w:lang w:val="fr-BE"/>
        </w:rPr>
        <w:t>development</w:t>
      </w:r>
      <w:proofErr w:type="spellEnd"/>
      <w:r w:rsidRPr="00D333A9">
        <w:rPr>
          <w:rFonts w:ascii="Arial" w:hAnsi="Arial" w:cs="Arial"/>
          <w:bCs/>
          <w:i/>
          <w:color w:val="auto"/>
          <w:sz w:val="22"/>
          <w:szCs w:val="22"/>
          <w:lang w:val="fr-BE"/>
        </w:rPr>
        <w:t xml:space="preserve"> group</w:t>
      </w:r>
      <w:r w:rsidRPr="00D333A9">
        <w:rPr>
          <w:rFonts w:ascii="Arial" w:hAnsi="Arial" w:cs="Arial"/>
          <w:bCs/>
          <w:color w:val="auto"/>
          <w:sz w:val="22"/>
          <w:szCs w:val="22"/>
          <w:lang w:val="fr-BE"/>
        </w:rPr>
        <w:t> »</w:t>
      </w:r>
      <w:r w:rsidR="006E35DC" w:rsidRPr="00D333A9">
        <w:rPr>
          <w:rFonts w:ascii="Arial" w:hAnsi="Arial" w:cs="Arial"/>
          <w:bCs/>
          <w:color w:val="auto"/>
          <w:sz w:val="22"/>
          <w:szCs w:val="22"/>
          <w:lang w:val="fr-BE"/>
        </w:rPr>
        <w:t xml:space="preserve"> (</w:t>
      </w:r>
      <w:r w:rsidRPr="00D333A9">
        <w:rPr>
          <w:rFonts w:ascii="Arial" w:hAnsi="Arial" w:cs="Arial"/>
          <w:bCs/>
          <w:color w:val="auto"/>
          <w:sz w:val="22"/>
          <w:szCs w:val="22"/>
          <w:lang w:val="fr-BE"/>
        </w:rPr>
        <w:t xml:space="preserve">qui a utilisé les travaux de </w:t>
      </w:r>
      <w:proofErr w:type="spellStart"/>
      <w:r w:rsidRPr="00D333A9">
        <w:rPr>
          <w:rFonts w:ascii="Arial" w:hAnsi="Arial" w:cs="Arial"/>
          <w:bCs/>
          <w:color w:val="auto"/>
          <w:sz w:val="22"/>
          <w:szCs w:val="22"/>
          <w:lang w:val="fr-BE"/>
        </w:rPr>
        <w:t>Stockwell</w:t>
      </w:r>
      <w:proofErr w:type="spellEnd"/>
      <w:r w:rsidRPr="00D333A9">
        <w:rPr>
          <w:rFonts w:ascii="Arial" w:hAnsi="Arial" w:cs="Arial"/>
          <w:bCs/>
          <w:color w:val="auto"/>
          <w:sz w:val="22"/>
          <w:szCs w:val="22"/>
          <w:lang w:val="fr-BE"/>
        </w:rPr>
        <w:t xml:space="preserve"> (</w:t>
      </w:r>
      <w:proofErr w:type="spellStart"/>
      <w:r w:rsidRPr="00D333A9">
        <w:rPr>
          <w:rFonts w:ascii="Arial" w:hAnsi="Arial" w:cs="Arial"/>
          <w:bCs/>
          <w:color w:val="auto"/>
          <w:sz w:val="22"/>
          <w:szCs w:val="22"/>
          <w:lang w:val="fr-BE"/>
        </w:rPr>
        <w:t>Stockwell</w:t>
      </w:r>
      <w:proofErr w:type="spellEnd"/>
      <w:r w:rsidRPr="00D333A9">
        <w:rPr>
          <w:rFonts w:ascii="Arial" w:hAnsi="Arial" w:cs="Arial"/>
          <w:bCs/>
          <w:color w:val="auto"/>
          <w:sz w:val="22"/>
          <w:szCs w:val="22"/>
          <w:lang w:val="fr-BE"/>
        </w:rPr>
        <w:t xml:space="preserve"> et al., 2016) et</w:t>
      </w:r>
      <w:r w:rsidR="006C30B6" w:rsidRPr="00D333A9">
        <w:rPr>
          <w:rFonts w:ascii="Arial" w:hAnsi="Arial" w:cs="Arial"/>
          <w:bCs/>
          <w:color w:val="auto"/>
          <w:sz w:val="22"/>
          <w:szCs w:val="22"/>
          <w:lang w:val="fr-BE"/>
        </w:rPr>
        <w:t xml:space="preserve"> </w:t>
      </w:r>
      <w:r w:rsidR="006323A3" w:rsidRPr="00D333A9">
        <w:rPr>
          <w:rFonts w:ascii="Arial" w:hAnsi="Arial" w:cs="Arial"/>
          <w:bCs/>
          <w:color w:val="auto"/>
          <w:sz w:val="22"/>
          <w:szCs w:val="22"/>
          <w:lang w:val="fr-BE"/>
        </w:rPr>
        <w:t xml:space="preserve">ceux </w:t>
      </w:r>
      <w:r w:rsidR="006C30B6" w:rsidRPr="00D333A9">
        <w:rPr>
          <w:rFonts w:ascii="Arial" w:hAnsi="Arial" w:cs="Arial"/>
          <w:bCs/>
          <w:color w:val="auto"/>
          <w:sz w:val="22"/>
          <w:szCs w:val="22"/>
          <w:lang w:val="fr-BE"/>
        </w:rPr>
        <w:t>de l’Université de Sheffield (« </w:t>
      </w:r>
      <w:r w:rsidRPr="00D333A9">
        <w:rPr>
          <w:rFonts w:ascii="Arial" w:hAnsi="Arial" w:cs="Arial"/>
          <w:bCs/>
          <w:i/>
          <w:color w:val="auto"/>
          <w:sz w:val="22"/>
          <w:szCs w:val="22"/>
          <w:lang w:val="fr-BE"/>
        </w:rPr>
        <w:t xml:space="preserve">Sheffield </w:t>
      </w:r>
      <w:proofErr w:type="spellStart"/>
      <w:r w:rsidRPr="00D333A9">
        <w:rPr>
          <w:rFonts w:ascii="Arial" w:hAnsi="Arial" w:cs="Arial"/>
          <w:bCs/>
          <w:i/>
          <w:color w:val="auto"/>
          <w:sz w:val="22"/>
          <w:szCs w:val="22"/>
          <w:lang w:val="fr-BE"/>
        </w:rPr>
        <w:t>Alcohol</w:t>
      </w:r>
      <w:proofErr w:type="spellEnd"/>
      <w:r w:rsidRPr="00D333A9">
        <w:rPr>
          <w:rFonts w:ascii="Arial" w:hAnsi="Arial" w:cs="Arial"/>
          <w:bCs/>
          <w:i/>
          <w:color w:val="auto"/>
          <w:sz w:val="22"/>
          <w:szCs w:val="22"/>
          <w:lang w:val="fr-BE"/>
        </w:rPr>
        <w:t xml:space="preserve"> Policy Model </w:t>
      </w:r>
      <w:r w:rsidRPr="00D333A9">
        <w:rPr>
          <w:rFonts w:ascii="Arial" w:hAnsi="Arial" w:cs="Arial"/>
          <w:bCs/>
          <w:color w:val="auto"/>
          <w:sz w:val="22"/>
          <w:szCs w:val="22"/>
          <w:lang w:val="fr-BE"/>
        </w:rPr>
        <w:t xml:space="preserve">», </w:t>
      </w:r>
      <w:r w:rsidR="006323A3" w:rsidRPr="00D333A9">
        <w:rPr>
          <w:rFonts w:ascii="Arial" w:hAnsi="Arial" w:cs="Arial"/>
          <w:bCs/>
          <w:color w:val="auto"/>
          <w:sz w:val="22"/>
          <w:szCs w:val="22"/>
          <w:lang w:val="fr-BE"/>
        </w:rPr>
        <w:t>eux-mêmes basés sur l</w:t>
      </w:r>
      <w:r w:rsidR="006E35DC" w:rsidRPr="00D333A9">
        <w:rPr>
          <w:rFonts w:ascii="Arial" w:hAnsi="Arial" w:cs="Arial"/>
          <w:bCs/>
          <w:color w:val="auto"/>
          <w:sz w:val="22"/>
          <w:szCs w:val="22"/>
          <w:lang w:val="fr-BE"/>
        </w:rPr>
        <w:t>es travaux sur l’évaluation du risque de l’Australie et d</w:t>
      </w:r>
      <w:r w:rsidRPr="00D333A9">
        <w:rPr>
          <w:rFonts w:ascii="Arial" w:hAnsi="Arial" w:cs="Arial"/>
          <w:bCs/>
          <w:color w:val="auto"/>
          <w:sz w:val="22"/>
          <w:szCs w:val="22"/>
          <w:lang w:val="fr-BE"/>
        </w:rPr>
        <w:t xml:space="preserve">u Canada). Selon cette directive, </w:t>
      </w:r>
      <w:r w:rsidR="0038341F" w:rsidRPr="00D333A9">
        <w:rPr>
          <w:rFonts w:ascii="Arial" w:hAnsi="Arial" w:cs="Arial"/>
          <w:bCs/>
          <w:color w:val="auto"/>
          <w:sz w:val="22"/>
          <w:szCs w:val="22"/>
          <w:lang w:val="fr-BE"/>
        </w:rPr>
        <w:t>de nouvelles preuves permettent d’affirmer que :</w:t>
      </w:r>
    </w:p>
    <w:p w:rsidR="0038341F" w:rsidRPr="00D333A9" w:rsidRDefault="006323A3" w:rsidP="00E03DD1">
      <w:pPr>
        <w:pStyle w:val="Paragraphedeliste"/>
        <w:numPr>
          <w:ilvl w:val="0"/>
          <w:numId w:val="3"/>
        </w:numPr>
        <w:shd w:val="clear" w:color="auto" w:fill="FFFFFF"/>
        <w:rPr>
          <w:rFonts w:cs="Arial"/>
          <w:bCs/>
          <w:lang w:val="fr-BE"/>
        </w:rPr>
      </w:pPr>
      <w:r w:rsidRPr="00D333A9">
        <w:rPr>
          <w:rFonts w:cs="Arial"/>
          <w:bCs/>
          <w:lang w:val="fr-BE"/>
        </w:rPr>
        <w:t>l</w:t>
      </w:r>
      <w:r w:rsidR="0038341F" w:rsidRPr="00D333A9">
        <w:rPr>
          <w:rFonts w:cs="Arial"/>
          <w:bCs/>
          <w:lang w:val="fr-BE"/>
        </w:rPr>
        <w:t>e bénéfice de petites quantités d’alcool est moindre que ce que l’on pensait auparavant</w:t>
      </w:r>
      <w:r w:rsidRPr="00D333A9">
        <w:rPr>
          <w:rFonts w:cs="Arial"/>
          <w:bCs/>
          <w:lang w:val="fr-BE"/>
        </w:rPr>
        <w:t> ;</w:t>
      </w:r>
    </w:p>
    <w:p w:rsidR="0038341F" w:rsidRPr="00D333A9" w:rsidRDefault="006323A3" w:rsidP="00E03DD1">
      <w:pPr>
        <w:pStyle w:val="Paragraphedeliste"/>
        <w:numPr>
          <w:ilvl w:val="0"/>
          <w:numId w:val="3"/>
        </w:numPr>
        <w:shd w:val="clear" w:color="auto" w:fill="FFFFFF"/>
        <w:rPr>
          <w:rFonts w:cs="Arial"/>
          <w:bCs/>
          <w:lang w:val="fr-BE"/>
        </w:rPr>
      </w:pPr>
      <w:r w:rsidRPr="00D333A9">
        <w:rPr>
          <w:rFonts w:cs="Arial"/>
          <w:bCs/>
          <w:lang w:val="fr-BE"/>
        </w:rPr>
        <w:t>l</w:t>
      </w:r>
      <w:r w:rsidR="0038341F" w:rsidRPr="00D333A9">
        <w:rPr>
          <w:rFonts w:cs="Arial"/>
          <w:bCs/>
          <w:lang w:val="fr-BE"/>
        </w:rPr>
        <w:t>a consommation d’alcool augmente le risque de plusieurs cancers</w:t>
      </w:r>
      <w:r w:rsidRPr="00D333A9">
        <w:rPr>
          <w:rFonts w:cs="Arial"/>
          <w:bCs/>
          <w:lang w:val="fr-BE"/>
        </w:rPr>
        <w:t> ;</w:t>
      </w:r>
    </w:p>
    <w:p w:rsidR="0038341F" w:rsidRPr="00D333A9" w:rsidRDefault="006323A3" w:rsidP="00E03DD1">
      <w:pPr>
        <w:pStyle w:val="Paragraphedeliste"/>
        <w:numPr>
          <w:ilvl w:val="0"/>
          <w:numId w:val="3"/>
        </w:numPr>
        <w:shd w:val="clear" w:color="auto" w:fill="FFFFFF"/>
        <w:rPr>
          <w:rFonts w:cs="Arial"/>
          <w:bCs/>
          <w:lang w:val="fr-BE"/>
        </w:rPr>
      </w:pPr>
      <w:r w:rsidRPr="00D333A9">
        <w:rPr>
          <w:rFonts w:cs="Arial"/>
          <w:bCs/>
          <w:lang w:val="fr-BE"/>
        </w:rPr>
        <w:t>s</w:t>
      </w:r>
      <w:r w:rsidR="0038341F" w:rsidRPr="00D333A9">
        <w:rPr>
          <w:rFonts w:cs="Arial"/>
          <w:bCs/>
          <w:lang w:val="fr-BE"/>
        </w:rPr>
        <w:t>i on consomme jusque ou au-dessus de la limite, l’effet protecteur est annulé et le risque de mourir d’une affection liée à l’alcool est au moins de 1</w:t>
      </w:r>
      <w:r w:rsidR="008A5047">
        <w:rPr>
          <w:rFonts w:cs="Arial"/>
          <w:bCs/>
          <w:lang w:val="fr-BE"/>
        </w:rPr>
        <w:t xml:space="preserve"> </w:t>
      </w:r>
      <w:r w:rsidR="0038341F" w:rsidRPr="00D333A9">
        <w:rPr>
          <w:rFonts w:cs="Arial"/>
          <w:bCs/>
          <w:lang w:val="fr-BE"/>
        </w:rPr>
        <w:t>%. Ce niveau de risque serait équivalent à d’autres activités qui sont comprises comme n’étant pas complètement sû</w:t>
      </w:r>
      <w:r w:rsidRPr="00D333A9">
        <w:rPr>
          <w:rFonts w:cs="Arial"/>
          <w:bCs/>
          <w:lang w:val="fr-BE"/>
        </w:rPr>
        <w:t>res mais quand même entreprises ;</w:t>
      </w:r>
      <w:r w:rsidR="0038341F" w:rsidRPr="00D333A9">
        <w:rPr>
          <w:rFonts w:cs="Arial"/>
          <w:bCs/>
          <w:lang w:val="fr-BE"/>
        </w:rPr>
        <w:t xml:space="preserve"> </w:t>
      </w:r>
    </w:p>
    <w:p w:rsidR="00CB4023" w:rsidRPr="00D333A9" w:rsidRDefault="006323A3" w:rsidP="00E03DD1">
      <w:pPr>
        <w:pStyle w:val="Paragraphedeliste"/>
        <w:numPr>
          <w:ilvl w:val="0"/>
          <w:numId w:val="3"/>
        </w:numPr>
        <w:shd w:val="clear" w:color="auto" w:fill="FFFFFF"/>
        <w:rPr>
          <w:rFonts w:cs="Arial"/>
          <w:bCs/>
          <w:lang w:val="fr-BE"/>
        </w:rPr>
      </w:pPr>
      <w:r w:rsidRPr="00D333A9">
        <w:rPr>
          <w:rFonts w:cs="Arial"/>
          <w:bCs/>
          <w:lang w:val="fr-BE"/>
        </w:rPr>
        <w:t>i</w:t>
      </w:r>
      <w:r w:rsidR="0038341F" w:rsidRPr="00D333A9">
        <w:rPr>
          <w:rFonts w:cs="Arial"/>
          <w:bCs/>
          <w:lang w:val="fr-BE"/>
        </w:rPr>
        <w:t xml:space="preserve">l faut non seulement une directive de consommation </w:t>
      </w:r>
      <w:r w:rsidR="00CB4023" w:rsidRPr="00D333A9">
        <w:rPr>
          <w:rFonts w:cs="Arial"/>
          <w:bCs/>
          <w:lang w:val="fr-BE"/>
        </w:rPr>
        <w:t>hebdomadaire</w:t>
      </w:r>
      <w:r w:rsidR="0038341F" w:rsidRPr="00D333A9">
        <w:rPr>
          <w:rFonts w:cs="Arial"/>
          <w:bCs/>
          <w:lang w:val="fr-BE"/>
        </w:rPr>
        <w:t xml:space="preserve">, mais aussi une </w:t>
      </w:r>
      <w:r w:rsidR="00CB4023" w:rsidRPr="00D333A9">
        <w:rPr>
          <w:rFonts w:cs="Arial"/>
          <w:bCs/>
          <w:lang w:val="fr-BE"/>
        </w:rPr>
        <w:t>recommandation</w:t>
      </w:r>
      <w:r w:rsidR="0038341F" w:rsidRPr="00D333A9">
        <w:rPr>
          <w:rFonts w:cs="Arial"/>
          <w:bCs/>
          <w:lang w:val="fr-BE"/>
        </w:rPr>
        <w:t xml:space="preserve"> </w:t>
      </w:r>
      <w:r w:rsidR="00CB4023" w:rsidRPr="00D333A9">
        <w:rPr>
          <w:rFonts w:cs="Arial"/>
          <w:bCs/>
          <w:lang w:val="fr-BE"/>
        </w:rPr>
        <w:t>sur la nécessité d’éviter une</w:t>
      </w:r>
      <w:r w:rsidR="0038341F" w:rsidRPr="00D333A9">
        <w:rPr>
          <w:rFonts w:cs="Arial"/>
          <w:bCs/>
          <w:lang w:val="fr-BE"/>
        </w:rPr>
        <w:t xml:space="preserve"> consommation </w:t>
      </w:r>
      <w:r w:rsidR="00CB4023" w:rsidRPr="00D333A9">
        <w:rPr>
          <w:rFonts w:cs="Arial"/>
          <w:bCs/>
          <w:lang w:val="fr-BE"/>
        </w:rPr>
        <w:t xml:space="preserve">excessive. </w:t>
      </w:r>
    </w:p>
    <w:p w:rsidR="00CB4023" w:rsidRPr="00D333A9" w:rsidRDefault="00CB4023" w:rsidP="000F3ED6">
      <w:pPr>
        <w:pStyle w:val="textbox"/>
        <w:shd w:val="clear" w:color="auto" w:fill="FFFFFF"/>
        <w:spacing w:before="0" w:beforeAutospacing="0" w:after="0" w:afterAutospacing="0"/>
        <w:jc w:val="both"/>
        <w:rPr>
          <w:rFonts w:ascii="Arial" w:eastAsiaTheme="minorHAnsi" w:hAnsi="Arial" w:cs="Arial"/>
          <w:bCs/>
          <w:sz w:val="22"/>
          <w:szCs w:val="22"/>
          <w:lang w:val="fr-BE"/>
        </w:rPr>
      </w:pPr>
    </w:p>
    <w:p w:rsidR="00B07709" w:rsidRPr="00D333A9" w:rsidRDefault="0038341F" w:rsidP="000F3ED6">
      <w:pPr>
        <w:pStyle w:val="textbox"/>
        <w:shd w:val="clear" w:color="auto" w:fill="FFFFFF"/>
        <w:spacing w:before="0" w:beforeAutospacing="0" w:after="0" w:afterAutospacing="0"/>
        <w:jc w:val="both"/>
        <w:rPr>
          <w:rFonts w:ascii="Arial" w:eastAsiaTheme="minorHAnsi" w:hAnsi="Arial" w:cs="Arial"/>
          <w:bCs/>
          <w:sz w:val="22"/>
          <w:szCs w:val="22"/>
          <w:lang w:val="fr-BE"/>
        </w:rPr>
      </w:pPr>
      <w:r w:rsidRPr="00D333A9">
        <w:rPr>
          <w:rFonts w:ascii="Arial" w:eastAsiaTheme="minorHAnsi" w:hAnsi="Arial" w:cs="Arial"/>
          <w:bCs/>
          <w:sz w:val="22"/>
          <w:szCs w:val="22"/>
          <w:lang w:val="fr-BE"/>
        </w:rPr>
        <w:t>La directive du “</w:t>
      </w:r>
      <w:r w:rsidRPr="00D333A9">
        <w:rPr>
          <w:rFonts w:ascii="Arial" w:eastAsiaTheme="minorHAnsi" w:hAnsi="Arial" w:cs="Arial"/>
          <w:bCs/>
          <w:i/>
          <w:sz w:val="22"/>
          <w:szCs w:val="22"/>
          <w:lang w:val="fr-BE"/>
        </w:rPr>
        <w:t xml:space="preserve">Chief </w:t>
      </w:r>
      <w:proofErr w:type="spellStart"/>
      <w:r w:rsidRPr="00D333A9">
        <w:rPr>
          <w:rFonts w:ascii="Arial" w:eastAsiaTheme="minorHAnsi" w:hAnsi="Arial" w:cs="Arial"/>
          <w:bCs/>
          <w:i/>
          <w:sz w:val="22"/>
          <w:szCs w:val="22"/>
          <w:lang w:val="fr-BE"/>
        </w:rPr>
        <w:t>Medical</w:t>
      </w:r>
      <w:proofErr w:type="spellEnd"/>
      <w:r w:rsidRPr="00D333A9">
        <w:rPr>
          <w:rFonts w:ascii="Arial" w:eastAsiaTheme="minorHAnsi" w:hAnsi="Arial" w:cs="Arial"/>
          <w:bCs/>
          <w:i/>
          <w:sz w:val="22"/>
          <w:szCs w:val="22"/>
          <w:lang w:val="fr-BE"/>
        </w:rPr>
        <w:t xml:space="preserve"> </w:t>
      </w:r>
      <w:proofErr w:type="spellStart"/>
      <w:r w:rsidRPr="00D333A9">
        <w:rPr>
          <w:rFonts w:ascii="Arial" w:eastAsiaTheme="minorHAnsi" w:hAnsi="Arial" w:cs="Arial"/>
          <w:bCs/>
          <w:i/>
          <w:sz w:val="22"/>
          <w:szCs w:val="22"/>
          <w:lang w:val="fr-BE"/>
        </w:rPr>
        <w:t>Officers</w:t>
      </w:r>
      <w:proofErr w:type="spellEnd"/>
      <w:r w:rsidRPr="00D333A9">
        <w:rPr>
          <w:rFonts w:ascii="Arial" w:eastAsiaTheme="minorHAnsi" w:hAnsi="Arial" w:cs="Arial"/>
          <w:bCs/>
          <w:sz w:val="22"/>
          <w:szCs w:val="22"/>
          <w:lang w:val="fr-BE"/>
        </w:rPr>
        <w:t>” recommande</w:t>
      </w:r>
      <w:r w:rsidR="00CB4023" w:rsidRPr="00D333A9">
        <w:rPr>
          <w:rFonts w:ascii="Arial" w:eastAsiaTheme="minorHAnsi" w:hAnsi="Arial" w:cs="Arial"/>
          <w:bCs/>
          <w:sz w:val="22"/>
          <w:szCs w:val="22"/>
          <w:lang w:val="fr-BE"/>
        </w:rPr>
        <w:t xml:space="preserve"> donc</w:t>
      </w:r>
      <w:r w:rsidRPr="00D333A9">
        <w:rPr>
          <w:rFonts w:ascii="Arial" w:eastAsiaTheme="minorHAnsi" w:hAnsi="Arial" w:cs="Arial"/>
          <w:bCs/>
          <w:sz w:val="22"/>
          <w:szCs w:val="22"/>
          <w:lang w:val="fr-BE"/>
        </w:rPr>
        <w:t xml:space="preserve">, pour les adultes qui consomment </w:t>
      </w:r>
      <w:r w:rsidR="00CB4023" w:rsidRPr="00D333A9">
        <w:rPr>
          <w:rFonts w:ascii="Arial" w:eastAsiaTheme="minorHAnsi" w:hAnsi="Arial" w:cs="Arial"/>
          <w:bCs/>
          <w:sz w:val="22"/>
          <w:szCs w:val="22"/>
          <w:lang w:val="fr-BE"/>
        </w:rPr>
        <w:t>régulièrement</w:t>
      </w:r>
      <w:r w:rsidRPr="00D333A9">
        <w:rPr>
          <w:rFonts w:ascii="Arial" w:eastAsiaTheme="minorHAnsi" w:hAnsi="Arial" w:cs="Arial"/>
          <w:bCs/>
          <w:sz w:val="22"/>
          <w:szCs w:val="22"/>
          <w:lang w:val="fr-BE"/>
        </w:rPr>
        <w:t xml:space="preserve"> de l’alcool (c’est-à-dire de manière hebdomadaire) de : </w:t>
      </w:r>
    </w:p>
    <w:p w:rsidR="0038341F" w:rsidRPr="00D333A9" w:rsidRDefault="006323A3" w:rsidP="00E03DD1">
      <w:pPr>
        <w:pStyle w:val="textbox"/>
        <w:numPr>
          <w:ilvl w:val="0"/>
          <w:numId w:val="3"/>
        </w:numPr>
        <w:shd w:val="clear" w:color="auto" w:fill="FFFFFF"/>
        <w:spacing w:before="0" w:beforeAutospacing="0" w:after="0" w:afterAutospacing="0"/>
        <w:jc w:val="both"/>
        <w:rPr>
          <w:rFonts w:ascii="Arial" w:eastAsiaTheme="minorHAnsi" w:hAnsi="Arial" w:cs="Arial"/>
          <w:bCs/>
          <w:sz w:val="22"/>
          <w:szCs w:val="22"/>
          <w:lang w:val="fr-BE"/>
        </w:rPr>
      </w:pPr>
      <w:r w:rsidRPr="00D333A9">
        <w:rPr>
          <w:rFonts w:ascii="Arial" w:eastAsiaTheme="minorHAnsi" w:hAnsi="Arial" w:cs="Arial"/>
          <w:bCs/>
          <w:sz w:val="22"/>
          <w:szCs w:val="22"/>
          <w:lang w:val="fr-BE"/>
        </w:rPr>
        <w:t>n</w:t>
      </w:r>
      <w:r w:rsidR="0038341F" w:rsidRPr="00D333A9">
        <w:rPr>
          <w:rFonts w:ascii="Arial" w:eastAsiaTheme="minorHAnsi" w:hAnsi="Arial" w:cs="Arial"/>
          <w:bCs/>
          <w:sz w:val="22"/>
          <w:szCs w:val="22"/>
          <w:lang w:val="fr-BE"/>
        </w:rPr>
        <w:t xml:space="preserve">e pas boire plus de </w:t>
      </w:r>
      <w:r w:rsidR="00473600" w:rsidRPr="00D333A9">
        <w:rPr>
          <w:rFonts w:ascii="Arial" w:eastAsiaTheme="minorHAnsi" w:hAnsi="Arial" w:cs="Arial"/>
          <w:bCs/>
          <w:sz w:val="22"/>
          <w:szCs w:val="22"/>
          <w:lang w:val="fr-BE"/>
        </w:rPr>
        <w:t xml:space="preserve">11 </w:t>
      </w:r>
      <w:r w:rsidR="0038341F" w:rsidRPr="00D333A9">
        <w:rPr>
          <w:rFonts w:ascii="Arial" w:eastAsiaTheme="minorHAnsi" w:hAnsi="Arial" w:cs="Arial"/>
          <w:bCs/>
          <w:sz w:val="22"/>
          <w:szCs w:val="22"/>
          <w:lang w:val="fr-BE"/>
        </w:rPr>
        <w:t>unités par semaine</w:t>
      </w:r>
      <w:r w:rsidR="002449C6" w:rsidRPr="00D333A9">
        <w:rPr>
          <w:rStyle w:val="Appelnotedebasdep"/>
          <w:rFonts w:ascii="Arial" w:eastAsiaTheme="minorHAnsi" w:hAnsi="Arial" w:cs="Arial"/>
          <w:bCs/>
          <w:sz w:val="22"/>
          <w:szCs w:val="22"/>
          <w:lang w:val="fr-BE"/>
        </w:rPr>
        <w:footnoteReference w:id="5"/>
      </w:r>
      <w:r w:rsidRPr="00D333A9">
        <w:rPr>
          <w:rFonts w:ascii="Arial" w:eastAsiaTheme="minorHAnsi" w:hAnsi="Arial" w:cs="Arial"/>
          <w:bCs/>
          <w:sz w:val="22"/>
          <w:szCs w:val="22"/>
          <w:lang w:val="fr-BE"/>
        </w:rPr>
        <w:t> ;</w:t>
      </w:r>
    </w:p>
    <w:p w:rsidR="00B07709" w:rsidRPr="00D333A9" w:rsidRDefault="006323A3" w:rsidP="00E03DD1">
      <w:pPr>
        <w:pStyle w:val="textbox"/>
        <w:numPr>
          <w:ilvl w:val="0"/>
          <w:numId w:val="3"/>
        </w:numPr>
        <w:shd w:val="clear" w:color="auto" w:fill="FFFFFF"/>
        <w:spacing w:before="0" w:beforeAutospacing="0" w:after="0" w:afterAutospacing="0"/>
        <w:jc w:val="both"/>
        <w:rPr>
          <w:rFonts w:ascii="Arial" w:eastAsiaTheme="minorHAnsi" w:hAnsi="Arial" w:cs="Arial"/>
          <w:bCs/>
          <w:sz w:val="22"/>
          <w:szCs w:val="22"/>
          <w:lang w:val="fr-BE"/>
        </w:rPr>
      </w:pPr>
      <w:r w:rsidRPr="00D333A9">
        <w:rPr>
          <w:rFonts w:ascii="Arial" w:eastAsiaTheme="minorHAnsi" w:hAnsi="Arial" w:cs="Arial"/>
          <w:bCs/>
          <w:sz w:val="22"/>
          <w:szCs w:val="22"/>
          <w:lang w:val="fr-BE"/>
        </w:rPr>
        <w:t>s</w:t>
      </w:r>
      <w:r w:rsidR="0038341F" w:rsidRPr="00D333A9">
        <w:rPr>
          <w:rFonts w:ascii="Arial" w:eastAsiaTheme="minorHAnsi" w:hAnsi="Arial" w:cs="Arial"/>
          <w:bCs/>
          <w:sz w:val="22"/>
          <w:szCs w:val="22"/>
          <w:lang w:val="fr-BE"/>
        </w:rPr>
        <w:t xml:space="preserve">i on consomme </w:t>
      </w:r>
      <w:r w:rsidR="00235FBB">
        <w:rPr>
          <w:rFonts w:ascii="Arial" w:eastAsiaTheme="minorHAnsi" w:hAnsi="Arial" w:cs="Arial"/>
          <w:bCs/>
          <w:sz w:val="22"/>
          <w:szCs w:val="22"/>
          <w:lang w:val="fr-BE"/>
        </w:rPr>
        <w:t xml:space="preserve">néanmoins </w:t>
      </w:r>
      <w:r w:rsidR="00903A79" w:rsidRPr="00D333A9">
        <w:rPr>
          <w:rFonts w:ascii="Arial" w:eastAsiaTheme="minorHAnsi" w:hAnsi="Arial" w:cs="Arial"/>
          <w:bCs/>
          <w:sz w:val="22"/>
          <w:szCs w:val="22"/>
          <w:lang w:val="fr-BE"/>
        </w:rPr>
        <w:t>11</w:t>
      </w:r>
      <w:r w:rsidR="00BB6414" w:rsidRPr="00D333A9">
        <w:rPr>
          <w:rFonts w:ascii="Arial" w:eastAsiaTheme="minorHAnsi" w:hAnsi="Arial" w:cs="Arial"/>
          <w:bCs/>
          <w:sz w:val="22"/>
          <w:szCs w:val="22"/>
          <w:lang w:val="fr-BE"/>
        </w:rPr>
        <w:t xml:space="preserve"> unités par semaine, répartir</w:t>
      </w:r>
      <w:r w:rsidR="0038341F" w:rsidRPr="00D333A9">
        <w:rPr>
          <w:rFonts w:ascii="Arial" w:eastAsiaTheme="minorHAnsi" w:hAnsi="Arial" w:cs="Arial"/>
          <w:bCs/>
          <w:sz w:val="22"/>
          <w:szCs w:val="22"/>
          <w:lang w:val="fr-BE"/>
        </w:rPr>
        <w:t xml:space="preserve"> cette co</w:t>
      </w:r>
      <w:r w:rsidRPr="00D333A9">
        <w:rPr>
          <w:rFonts w:ascii="Arial" w:eastAsiaTheme="minorHAnsi" w:hAnsi="Arial" w:cs="Arial"/>
          <w:bCs/>
          <w:sz w:val="22"/>
          <w:szCs w:val="22"/>
          <w:lang w:val="fr-BE"/>
        </w:rPr>
        <w:t>nsommation sur au moins 3 jours ;</w:t>
      </w:r>
    </w:p>
    <w:p w:rsidR="00B07709" w:rsidRPr="00D333A9" w:rsidRDefault="006323A3" w:rsidP="00E03DD1">
      <w:pPr>
        <w:pStyle w:val="textbox"/>
        <w:numPr>
          <w:ilvl w:val="0"/>
          <w:numId w:val="3"/>
        </w:numPr>
        <w:shd w:val="clear" w:color="auto" w:fill="FFFFFF"/>
        <w:spacing w:before="0" w:beforeAutospacing="0" w:after="0" w:afterAutospacing="0"/>
        <w:jc w:val="both"/>
        <w:rPr>
          <w:rFonts w:ascii="Arial" w:eastAsiaTheme="minorHAnsi" w:hAnsi="Arial" w:cs="Arial"/>
          <w:bCs/>
          <w:sz w:val="22"/>
          <w:szCs w:val="22"/>
          <w:lang w:val="fr-BE"/>
        </w:rPr>
      </w:pPr>
      <w:r w:rsidRPr="00D333A9">
        <w:rPr>
          <w:rFonts w:ascii="Arial" w:eastAsiaTheme="minorHAnsi" w:hAnsi="Arial" w:cs="Arial"/>
          <w:bCs/>
          <w:sz w:val="22"/>
          <w:szCs w:val="22"/>
          <w:lang w:val="fr-BE"/>
        </w:rPr>
        <w:t>s</w:t>
      </w:r>
      <w:r w:rsidR="0038341F" w:rsidRPr="00D333A9">
        <w:rPr>
          <w:rFonts w:ascii="Arial" w:eastAsiaTheme="minorHAnsi" w:hAnsi="Arial" w:cs="Arial"/>
          <w:bCs/>
          <w:sz w:val="22"/>
          <w:szCs w:val="22"/>
          <w:lang w:val="fr-BE"/>
        </w:rPr>
        <w:t xml:space="preserve">i on veut réduire la quantité consommée, il peut être utile d’avoir plusieurs jours sans alcool chaque semaine. </w:t>
      </w:r>
    </w:p>
    <w:p w:rsidR="0038341F" w:rsidRPr="00D333A9" w:rsidRDefault="0038341F" w:rsidP="000F3ED6">
      <w:pPr>
        <w:pStyle w:val="textbox"/>
        <w:shd w:val="clear" w:color="auto" w:fill="FFFFFF"/>
        <w:spacing w:before="0" w:beforeAutospacing="0" w:after="0" w:afterAutospacing="0"/>
        <w:ind w:left="720"/>
        <w:jc w:val="both"/>
        <w:rPr>
          <w:rFonts w:ascii="Arial" w:eastAsiaTheme="minorHAnsi" w:hAnsi="Arial" w:cs="Arial"/>
          <w:bCs/>
          <w:sz w:val="22"/>
          <w:szCs w:val="22"/>
          <w:lang w:val="fr-BE"/>
        </w:rPr>
      </w:pPr>
    </w:p>
    <w:p w:rsidR="00B07709" w:rsidRPr="00D333A9" w:rsidRDefault="00CB4023" w:rsidP="000F3ED6">
      <w:pPr>
        <w:shd w:val="clear" w:color="auto" w:fill="FFFFFF"/>
        <w:rPr>
          <w:rFonts w:cs="Arial"/>
          <w:bCs/>
          <w:lang w:val="fr-BE"/>
        </w:rPr>
      </w:pPr>
      <w:r w:rsidRPr="00D333A9">
        <w:rPr>
          <w:rFonts w:cs="Arial"/>
          <w:bCs/>
          <w:lang w:val="fr-BE"/>
        </w:rPr>
        <w:t xml:space="preserve">Elle recommande aussi, pour les hommes et les femmes qui veulent </w:t>
      </w:r>
      <w:r w:rsidR="00ED4390" w:rsidRPr="00D333A9">
        <w:rPr>
          <w:rFonts w:cs="Arial"/>
          <w:bCs/>
          <w:lang w:val="fr-BE"/>
        </w:rPr>
        <w:t>minimiser le</w:t>
      </w:r>
      <w:r w:rsidRPr="00D333A9">
        <w:rPr>
          <w:rFonts w:cs="Arial"/>
          <w:bCs/>
          <w:lang w:val="fr-BE"/>
        </w:rPr>
        <w:t xml:space="preserve"> risque lors d’épisodes de consommation uniques de :</w:t>
      </w:r>
    </w:p>
    <w:p w:rsidR="00CB4023" w:rsidRPr="00D333A9" w:rsidRDefault="006323A3" w:rsidP="00E03DD1">
      <w:pPr>
        <w:pStyle w:val="Paragraphedeliste"/>
        <w:numPr>
          <w:ilvl w:val="0"/>
          <w:numId w:val="3"/>
        </w:numPr>
        <w:shd w:val="clear" w:color="auto" w:fill="FFFFFF"/>
        <w:rPr>
          <w:rFonts w:cs="Arial"/>
          <w:bCs/>
          <w:lang w:val="fr-BE"/>
        </w:rPr>
      </w:pPr>
      <w:r w:rsidRPr="00D333A9">
        <w:rPr>
          <w:rFonts w:cs="Arial"/>
          <w:bCs/>
          <w:lang w:val="fr-BE"/>
        </w:rPr>
        <w:t>l</w:t>
      </w:r>
      <w:r w:rsidR="00CB4023" w:rsidRPr="00D333A9">
        <w:rPr>
          <w:rFonts w:cs="Arial"/>
          <w:bCs/>
          <w:lang w:val="fr-BE"/>
        </w:rPr>
        <w:t>imiter la quantité totale d’alcool bue à une occasion</w:t>
      </w:r>
      <w:r w:rsidRPr="00D333A9">
        <w:rPr>
          <w:rFonts w:cs="Arial"/>
          <w:bCs/>
          <w:lang w:val="fr-BE"/>
        </w:rPr>
        <w:t> ;</w:t>
      </w:r>
    </w:p>
    <w:p w:rsidR="00CB4023" w:rsidRPr="00D333A9" w:rsidRDefault="006323A3" w:rsidP="00E03DD1">
      <w:pPr>
        <w:pStyle w:val="Paragraphedeliste"/>
        <w:numPr>
          <w:ilvl w:val="0"/>
          <w:numId w:val="3"/>
        </w:numPr>
        <w:shd w:val="clear" w:color="auto" w:fill="FFFFFF"/>
        <w:rPr>
          <w:rFonts w:cs="Arial"/>
          <w:bCs/>
          <w:lang w:val="fr-BE"/>
        </w:rPr>
      </w:pPr>
      <w:r w:rsidRPr="00D333A9">
        <w:rPr>
          <w:rFonts w:cs="Arial"/>
          <w:bCs/>
          <w:lang w:val="fr-BE"/>
        </w:rPr>
        <w:t>b</w:t>
      </w:r>
      <w:r w:rsidR="00CB4023" w:rsidRPr="00D333A9">
        <w:rPr>
          <w:rFonts w:cs="Arial"/>
          <w:bCs/>
          <w:lang w:val="fr-BE"/>
        </w:rPr>
        <w:t>oire plus lentement, boire en mangeant, alterner avec de l’eau</w:t>
      </w:r>
      <w:r w:rsidRPr="00D333A9">
        <w:rPr>
          <w:rFonts w:cs="Arial"/>
          <w:bCs/>
          <w:lang w:val="fr-BE"/>
        </w:rPr>
        <w:t> ;</w:t>
      </w:r>
    </w:p>
    <w:p w:rsidR="00CB4023" w:rsidRPr="00D333A9" w:rsidRDefault="006323A3" w:rsidP="00E03DD1">
      <w:pPr>
        <w:pStyle w:val="Paragraphedeliste"/>
        <w:numPr>
          <w:ilvl w:val="0"/>
          <w:numId w:val="3"/>
        </w:numPr>
        <w:shd w:val="clear" w:color="auto" w:fill="FFFFFF"/>
        <w:rPr>
          <w:rFonts w:cs="Arial"/>
          <w:bCs/>
          <w:lang w:val="fr-BE"/>
        </w:rPr>
      </w:pPr>
      <w:r w:rsidRPr="00D333A9">
        <w:rPr>
          <w:rFonts w:cs="Arial"/>
          <w:bCs/>
          <w:lang w:val="fr-BE"/>
        </w:rPr>
        <w:t>p</w:t>
      </w:r>
      <w:r w:rsidR="00CB4023" w:rsidRPr="00D333A9">
        <w:rPr>
          <w:rFonts w:cs="Arial"/>
          <w:bCs/>
          <w:lang w:val="fr-BE"/>
        </w:rPr>
        <w:t>lanifier pour éviter les problèmes (s’assurer de pouvoir rentrer chez soi de manière sûre, ou d’être accompagné de personnes de confiance)</w:t>
      </w:r>
      <w:r w:rsidRPr="00D333A9">
        <w:rPr>
          <w:rFonts w:cs="Arial"/>
          <w:bCs/>
          <w:lang w:val="fr-BE"/>
        </w:rPr>
        <w:t>.</w:t>
      </w:r>
    </w:p>
    <w:p w:rsidR="00CB4023" w:rsidRPr="00D333A9" w:rsidRDefault="00CB4023" w:rsidP="000F3ED6">
      <w:pPr>
        <w:shd w:val="clear" w:color="auto" w:fill="FFFFFF"/>
        <w:rPr>
          <w:rFonts w:cs="Arial"/>
          <w:bCs/>
          <w:lang w:val="fr-BE"/>
        </w:rPr>
      </w:pPr>
    </w:p>
    <w:p w:rsidR="000F3ED6" w:rsidRPr="00D333A9" w:rsidRDefault="00ED4390" w:rsidP="00B07709">
      <w:pPr>
        <w:shd w:val="clear" w:color="auto" w:fill="FFFFFF"/>
        <w:rPr>
          <w:rFonts w:cs="Arial"/>
          <w:color w:val="000000"/>
          <w:lang w:val="fr-BE"/>
        </w:rPr>
      </w:pPr>
      <w:r w:rsidRPr="00D333A9">
        <w:rPr>
          <w:rFonts w:cs="Arial"/>
          <w:color w:val="000000"/>
          <w:lang w:val="fr-BE"/>
        </w:rPr>
        <w:t>Cependant, l</w:t>
      </w:r>
      <w:r w:rsidR="000F3ED6" w:rsidRPr="00D333A9">
        <w:rPr>
          <w:rFonts w:cs="Arial"/>
          <w:color w:val="000000"/>
          <w:lang w:val="fr-BE"/>
        </w:rPr>
        <w:t xml:space="preserve">es experts ne </w:t>
      </w:r>
      <w:r w:rsidRPr="00D333A9">
        <w:rPr>
          <w:rFonts w:cs="Arial"/>
          <w:color w:val="000000"/>
          <w:lang w:val="fr-BE"/>
        </w:rPr>
        <w:t xml:space="preserve">déterminent </w:t>
      </w:r>
      <w:r w:rsidR="000F3ED6" w:rsidRPr="00D333A9">
        <w:rPr>
          <w:rFonts w:cs="Arial"/>
          <w:color w:val="000000"/>
          <w:lang w:val="fr-BE"/>
        </w:rPr>
        <w:t>pas un nombre spécifique d’unité</w:t>
      </w:r>
      <w:r w:rsidRPr="00D333A9">
        <w:rPr>
          <w:rFonts w:cs="Arial"/>
          <w:color w:val="000000"/>
          <w:lang w:val="fr-BE"/>
        </w:rPr>
        <w:t>s</w:t>
      </w:r>
      <w:r w:rsidR="000F3ED6" w:rsidRPr="00D333A9">
        <w:rPr>
          <w:rFonts w:cs="Arial"/>
          <w:color w:val="000000"/>
          <w:lang w:val="fr-BE"/>
        </w:rPr>
        <w:t xml:space="preserve"> pour une occasion car les différences au niveau des risques à court terme peuvent être importantes d’un individu à l’autre et peuvent aussi fortement différer</w:t>
      </w:r>
      <w:r w:rsidRPr="00D333A9">
        <w:rPr>
          <w:rFonts w:cs="Arial"/>
          <w:color w:val="000000"/>
          <w:lang w:val="fr-BE"/>
        </w:rPr>
        <w:t xml:space="preserve"> </w:t>
      </w:r>
      <w:r w:rsidR="000F3ED6" w:rsidRPr="00D333A9">
        <w:rPr>
          <w:rFonts w:cs="Arial"/>
          <w:color w:val="000000"/>
          <w:lang w:val="fr-BE"/>
        </w:rPr>
        <w:t xml:space="preserve">en fonction de plusieurs facteurs. </w:t>
      </w:r>
    </w:p>
    <w:p w:rsidR="000F3ED6" w:rsidRPr="00D333A9" w:rsidRDefault="000F3ED6" w:rsidP="00B07709">
      <w:pPr>
        <w:shd w:val="clear" w:color="auto" w:fill="FFFFFF"/>
        <w:rPr>
          <w:rFonts w:cs="Arial"/>
          <w:color w:val="000000"/>
          <w:lang w:val="fr-BE"/>
        </w:rPr>
      </w:pPr>
    </w:p>
    <w:p w:rsidR="00B07709" w:rsidRPr="00D333A9" w:rsidRDefault="000F3ED6" w:rsidP="00B07709">
      <w:pPr>
        <w:shd w:val="clear" w:color="auto" w:fill="FFFFFF"/>
        <w:rPr>
          <w:rFonts w:cs="Arial"/>
          <w:color w:val="000000"/>
          <w:lang w:val="fr-BE"/>
        </w:rPr>
      </w:pPr>
      <w:r w:rsidRPr="00D333A9">
        <w:rPr>
          <w:rFonts w:cs="Arial"/>
          <w:color w:val="000000"/>
          <w:lang w:val="fr-BE"/>
        </w:rPr>
        <w:t>Certains</w:t>
      </w:r>
      <w:r w:rsidR="00CB4023" w:rsidRPr="00D333A9">
        <w:rPr>
          <w:rFonts w:cs="Arial"/>
          <w:color w:val="000000"/>
          <w:lang w:val="fr-BE"/>
        </w:rPr>
        <w:t xml:space="preserve"> groupes de personnes sont</w:t>
      </w:r>
      <w:r w:rsidRPr="00D333A9">
        <w:rPr>
          <w:rFonts w:cs="Arial"/>
          <w:color w:val="000000"/>
          <w:lang w:val="fr-BE"/>
        </w:rPr>
        <w:t xml:space="preserve"> par ailleurs</w:t>
      </w:r>
      <w:r w:rsidR="00CB4023" w:rsidRPr="00D333A9">
        <w:rPr>
          <w:rFonts w:cs="Arial"/>
          <w:color w:val="000000"/>
          <w:lang w:val="fr-BE"/>
        </w:rPr>
        <w:t xml:space="preserve"> plus susceptibles d’être affectés par l’alcool et devraient être prudent</w:t>
      </w:r>
      <w:r w:rsidR="00ED4390" w:rsidRPr="00D333A9">
        <w:rPr>
          <w:rFonts w:cs="Arial"/>
          <w:color w:val="000000"/>
          <w:lang w:val="fr-BE"/>
        </w:rPr>
        <w:t>s</w:t>
      </w:r>
      <w:r w:rsidR="00CB4023" w:rsidRPr="00D333A9">
        <w:rPr>
          <w:rFonts w:cs="Arial"/>
          <w:color w:val="000000"/>
          <w:lang w:val="fr-BE"/>
        </w:rPr>
        <w:t xml:space="preserve"> quant à leur niveau de </w:t>
      </w:r>
      <w:r w:rsidRPr="00D333A9">
        <w:rPr>
          <w:rFonts w:cs="Arial"/>
          <w:color w:val="000000"/>
          <w:lang w:val="fr-BE"/>
        </w:rPr>
        <w:t>consommation,</w:t>
      </w:r>
      <w:r w:rsidR="00CB4023" w:rsidRPr="00D333A9">
        <w:rPr>
          <w:rFonts w:cs="Arial"/>
          <w:color w:val="000000"/>
          <w:lang w:val="fr-BE"/>
        </w:rPr>
        <w:t xml:space="preserve"> comme </w:t>
      </w:r>
      <w:r w:rsidRPr="00D333A9">
        <w:rPr>
          <w:rFonts w:cs="Arial"/>
          <w:color w:val="000000"/>
          <w:lang w:val="fr-BE"/>
        </w:rPr>
        <w:t>ceux</w:t>
      </w:r>
      <w:r w:rsidR="00CB4023" w:rsidRPr="00D333A9">
        <w:rPr>
          <w:rFonts w:cs="Arial"/>
          <w:color w:val="000000"/>
          <w:lang w:val="fr-BE"/>
        </w:rPr>
        <w:t xml:space="preserve"> qui </w:t>
      </w:r>
      <w:r w:rsidR="00235FBB">
        <w:rPr>
          <w:rFonts w:cs="Arial"/>
          <w:color w:val="000000"/>
          <w:lang w:val="fr-BE"/>
        </w:rPr>
        <w:t xml:space="preserve">sont à risque de </w:t>
      </w:r>
      <w:r w:rsidR="00CB4023" w:rsidRPr="00D333A9">
        <w:rPr>
          <w:rFonts w:cs="Arial"/>
          <w:color w:val="000000"/>
          <w:lang w:val="fr-BE"/>
        </w:rPr>
        <w:t xml:space="preserve">chuter, qui prennent des </w:t>
      </w:r>
      <w:r w:rsidRPr="00D333A9">
        <w:rPr>
          <w:rFonts w:cs="Arial"/>
          <w:color w:val="000000"/>
          <w:lang w:val="fr-BE"/>
        </w:rPr>
        <w:t>médicaments</w:t>
      </w:r>
      <w:r w:rsidR="00CB4023" w:rsidRPr="00D333A9">
        <w:rPr>
          <w:rFonts w:cs="Arial"/>
          <w:color w:val="000000"/>
          <w:lang w:val="fr-BE"/>
        </w:rPr>
        <w:t xml:space="preserve"> qui peuvent interagir avec l’</w:t>
      </w:r>
      <w:r w:rsidRPr="00D333A9">
        <w:rPr>
          <w:rFonts w:cs="Arial"/>
          <w:color w:val="000000"/>
          <w:lang w:val="fr-BE"/>
        </w:rPr>
        <w:t>alcool</w:t>
      </w:r>
      <w:r w:rsidR="00CB4023" w:rsidRPr="00D333A9">
        <w:rPr>
          <w:rFonts w:cs="Arial"/>
          <w:color w:val="000000"/>
          <w:lang w:val="fr-BE"/>
        </w:rPr>
        <w:t xml:space="preserve">, </w:t>
      </w:r>
      <w:r w:rsidRPr="00D333A9">
        <w:rPr>
          <w:rFonts w:cs="Arial"/>
          <w:color w:val="000000"/>
          <w:lang w:val="fr-BE"/>
        </w:rPr>
        <w:t xml:space="preserve">ou qui ont des problèmes de santé physique ou mentale que l’alcool pourrait exacerber. </w:t>
      </w:r>
    </w:p>
    <w:p w:rsidR="000F3ED6" w:rsidRPr="00D333A9" w:rsidRDefault="000F3ED6" w:rsidP="00B07709">
      <w:pPr>
        <w:shd w:val="clear" w:color="auto" w:fill="FFFFFF"/>
        <w:rPr>
          <w:rFonts w:cs="Arial"/>
          <w:color w:val="000000"/>
          <w:lang w:val="fr-BE"/>
        </w:rPr>
      </w:pPr>
      <w:r w:rsidRPr="00D333A9">
        <w:rPr>
          <w:rFonts w:cs="Arial"/>
          <w:color w:val="000000"/>
          <w:lang w:val="fr-BE"/>
        </w:rPr>
        <w:t xml:space="preserve">Il est aussi recommandé aux femmes enceintes ou qui allaitent de ne pas boire d’alcool. </w:t>
      </w:r>
    </w:p>
    <w:p w:rsidR="00B07709" w:rsidRPr="00D333A9" w:rsidRDefault="00B07709" w:rsidP="00B07709">
      <w:pPr>
        <w:shd w:val="clear" w:color="auto" w:fill="FFFFFF"/>
        <w:rPr>
          <w:rFonts w:cs="Arial"/>
          <w:color w:val="000000"/>
          <w:lang w:val="fr-BE"/>
        </w:rPr>
      </w:pPr>
    </w:p>
    <w:p w:rsidR="00A871F8" w:rsidRPr="00D333A9" w:rsidRDefault="00A871F8" w:rsidP="00584EFB">
      <w:pPr>
        <w:pStyle w:val="Titre3"/>
      </w:pPr>
      <w:proofErr w:type="spellStart"/>
      <w:r w:rsidRPr="00D333A9">
        <w:t>Belgique</w:t>
      </w:r>
      <w:proofErr w:type="spellEnd"/>
      <w:r w:rsidRPr="00D333A9">
        <w:t xml:space="preserve"> </w:t>
      </w:r>
    </w:p>
    <w:p w:rsidR="006F024E" w:rsidRPr="00D333A9" w:rsidRDefault="006F024E" w:rsidP="00584EFB">
      <w:pPr>
        <w:pStyle w:val="Titre4"/>
        <w:numPr>
          <w:ilvl w:val="3"/>
          <w:numId w:val="18"/>
        </w:numPr>
      </w:pPr>
      <w:r w:rsidRPr="00D333A9">
        <w:t>Avis du CSS:</w:t>
      </w:r>
    </w:p>
    <w:p w:rsidR="006F024E" w:rsidRPr="00D333A9" w:rsidRDefault="006F024E" w:rsidP="00584EFB">
      <w:pPr>
        <w:pStyle w:val="Titre5"/>
      </w:pPr>
      <w:r w:rsidRPr="00D333A9">
        <w:t>Les jeunes et l’alcool  (</w:t>
      </w:r>
      <w:r w:rsidR="009D0F92" w:rsidRPr="00D333A9">
        <w:t xml:space="preserve">CSS 8109, </w:t>
      </w:r>
      <w:r w:rsidRPr="00D333A9">
        <w:t>2006)</w:t>
      </w:r>
    </w:p>
    <w:p w:rsidR="006F024E" w:rsidRPr="00D333A9" w:rsidRDefault="006F024E" w:rsidP="006F024E">
      <w:pPr>
        <w:rPr>
          <w:rFonts w:cs="Arial"/>
          <w:lang w:val="fr-BE"/>
        </w:rPr>
      </w:pPr>
      <w:r w:rsidRPr="00D333A9">
        <w:rPr>
          <w:rFonts w:cs="Arial"/>
          <w:lang w:val="fr-BE"/>
        </w:rPr>
        <w:t xml:space="preserve">L’avis du CSS 8109, dont le but était de fournir des recommandations concernant l’usage de l’alcool chez les jeunes, affirmait en 2006 </w:t>
      </w:r>
      <w:r w:rsidR="00E01019" w:rsidRPr="00D333A9">
        <w:rPr>
          <w:rFonts w:cs="Arial"/>
          <w:lang w:val="fr-BE"/>
        </w:rPr>
        <w:t>« </w:t>
      </w:r>
      <w:r w:rsidRPr="00D333A9">
        <w:rPr>
          <w:rFonts w:cs="Arial"/>
          <w:lang w:val="fr-BE"/>
        </w:rPr>
        <w:t xml:space="preserve">qu’il n’y </w:t>
      </w:r>
      <w:r w:rsidR="00E01019" w:rsidRPr="00D333A9">
        <w:rPr>
          <w:rFonts w:cs="Arial"/>
          <w:lang w:val="fr-BE"/>
        </w:rPr>
        <w:t xml:space="preserve">a </w:t>
      </w:r>
      <w:r w:rsidRPr="00D333A9">
        <w:rPr>
          <w:rFonts w:cs="Arial"/>
          <w:lang w:val="fr-BE"/>
        </w:rPr>
        <w:t>pas de preuve scientifique pour une quantité maximale en dessous de laquelle la consommation d’alcool est sans danger</w:t>
      </w:r>
      <w:r w:rsidR="00E01019" w:rsidRPr="00D333A9">
        <w:rPr>
          <w:rFonts w:cs="Arial"/>
          <w:lang w:val="fr-BE"/>
        </w:rPr>
        <w:t> »</w:t>
      </w:r>
      <w:r w:rsidRPr="00D333A9">
        <w:rPr>
          <w:rFonts w:cs="Arial"/>
          <w:lang w:val="fr-BE"/>
        </w:rPr>
        <w:t>. C’est encore moins le cas pour les jeunes et les enfants, qui constituent un groupe très vulnérable. </w:t>
      </w:r>
    </w:p>
    <w:p w:rsidR="006F024E" w:rsidRPr="00D333A9" w:rsidRDefault="006F024E" w:rsidP="006F024E">
      <w:pPr>
        <w:rPr>
          <w:rFonts w:cs="Arial"/>
          <w:lang w:val="fr-BE"/>
        </w:rPr>
      </w:pPr>
    </w:p>
    <w:p w:rsidR="006F024E" w:rsidRPr="00D333A9" w:rsidRDefault="006F024E" w:rsidP="007513D9">
      <w:pPr>
        <w:pStyle w:val="Titre5"/>
      </w:pPr>
      <w:r w:rsidRPr="00D333A9">
        <w:t>Alcool et grossesse (CSS 8462, 2009)</w:t>
      </w:r>
    </w:p>
    <w:p w:rsidR="00F2339C" w:rsidRPr="00D333A9" w:rsidRDefault="006F024E" w:rsidP="00F2339C">
      <w:pPr>
        <w:rPr>
          <w:bCs/>
          <w:lang w:val="fr-BE"/>
        </w:rPr>
      </w:pPr>
      <w:r w:rsidRPr="00D333A9">
        <w:rPr>
          <w:rFonts w:cs="Arial"/>
          <w:lang w:val="fr-BE"/>
        </w:rPr>
        <w:t>L’avis du CSS sur les risques de la consommation d’alcool avant et pendant la grossesse et durant l’allaitement indiquait qu’il « est impossible, sur base des données actuelles, de garantir une limite en dessous de laquelle une consommation d’alcool par la mère durant la grossesse serait sans danger pour l’enfant à naître ». La recommandation était donc</w:t>
      </w:r>
      <w:r w:rsidR="00F2339C" w:rsidRPr="00D333A9">
        <w:rPr>
          <w:rFonts w:cs="Arial"/>
          <w:lang w:val="fr-BE"/>
        </w:rPr>
        <w:t xml:space="preserve"> : </w:t>
      </w:r>
    </w:p>
    <w:p w:rsidR="00C135C2" w:rsidRPr="00D333A9" w:rsidRDefault="00C135C2" w:rsidP="00C135C2">
      <w:pPr>
        <w:pStyle w:val="Paragraphedeliste"/>
        <w:rPr>
          <w:rFonts w:ascii="ArialMT" w:hAnsi="ArialMT" w:cs="ArialMT"/>
          <w:lang w:val="fr-BE"/>
        </w:rPr>
      </w:pPr>
    </w:p>
    <w:p w:rsidR="00C135C2" w:rsidRPr="00D333A9" w:rsidRDefault="00C135C2" w:rsidP="00F2339C">
      <w:pPr>
        <w:pStyle w:val="Paragraphedeliste"/>
        <w:numPr>
          <w:ilvl w:val="0"/>
          <w:numId w:val="4"/>
        </w:numPr>
        <w:ind w:left="993" w:hanging="502"/>
        <w:rPr>
          <w:rFonts w:ascii="ArialMT" w:hAnsi="ArialMT" w:cs="ArialMT"/>
          <w:lang w:val="fr-BE"/>
        </w:rPr>
      </w:pPr>
      <w:r w:rsidRPr="00D333A9">
        <w:rPr>
          <w:rFonts w:ascii="ArialMT" w:hAnsi="ArialMT" w:cs="ArialMT"/>
          <w:lang w:val="fr-BE"/>
        </w:rPr>
        <w:t>Aux femmes en âge de procréer, avant une grossesse</w:t>
      </w:r>
      <w:r w:rsidR="008A5047">
        <w:rPr>
          <w:rFonts w:ascii="ArialMT" w:hAnsi="ArialMT" w:cs="ArialMT"/>
          <w:lang w:val="fr-BE"/>
        </w:rPr>
        <w:t xml:space="preserve"> </w:t>
      </w:r>
      <w:r w:rsidRPr="00D333A9">
        <w:rPr>
          <w:rFonts w:ascii="ArialMT" w:hAnsi="ArialMT" w:cs="ArialMT"/>
          <w:lang w:val="fr-BE"/>
        </w:rPr>
        <w:t>:</w:t>
      </w:r>
    </w:p>
    <w:p w:rsidR="00D73A59" w:rsidRDefault="00C135C2" w:rsidP="00F2339C">
      <w:pPr>
        <w:pStyle w:val="Paragraphedeliste"/>
        <w:numPr>
          <w:ilvl w:val="2"/>
          <w:numId w:val="10"/>
        </w:numPr>
        <w:autoSpaceDE w:val="0"/>
        <w:autoSpaceDN w:val="0"/>
        <w:adjustRightInd w:val="0"/>
        <w:ind w:left="1418"/>
        <w:rPr>
          <w:rFonts w:ascii="ArialMT" w:hAnsi="ArialMT" w:cs="ArialMT"/>
          <w:lang w:val="fr-BE"/>
        </w:rPr>
      </w:pPr>
      <w:r w:rsidRPr="00D333A9">
        <w:rPr>
          <w:rFonts w:ascii="ArialMT" w:hAnsi="ArialMT" w:cs="ArialMT"/>
          <w:lang w:val="fr-BE"/>
        </w:rPr>
        <w:t xml:space="preserve">si vous souhaitez une grossesse, arrêtez totalement la consommation </w:t>
      </w:r>
    </w:p>
    <w:p w:rsidR="00C135C2" w:rsidRPr="00D333A9" w:rsidRDefault="00C135C2" w:rsidP="00D73A59">
      <w:pPr>
        <w:pStyle w:val="Paragraphedeliste"/>
        <w:autoSpaceDE w:val="0"/>
        <w:autoSpaceDN w:val="0"/>
        <w:adjustRightInd w:val="0"/>
        <w:ind w:left="1418"/>
        <w:rPr>
          <w:rFonts w:ascii="ArialMT" w:hAnsi="ArialMT" w:cs="ArialMT"/>
          <w:lang w:val="fr-BE"/>
        </w:rPr>
      </w:pPr>
      <w:r w:rsidRPr="00D333A9">
        <w:rPr>
          <w:rFonts w:ascii="ArialMT" w:hAnsi="ArialMT" w:cs="ArialMT"/>
          <w:lang w:val="fr-BE"/>
        </w:rPr>
        <w:t>d’alcool</w:t>
      </w:r>
      <w:r w:rsidR="00D73A59">
        <w:rPr>
          <w:rFonts w:ascii="ArialMT" w:hAnsi="ArialMT" w:cs="ArialMT"/>
          <w:lang w:val="fr-BE"/>
        </w:rPr>
        <w:t xml:space="preserve"> </w:t>
      </w:r>
      <w:r w:rsidRPr="00D333A9">
        <w:rPr>
          <w:rFonts w:ascii="ArialMT" w:hAnsi="ArialMT" w:cs="ArialMT"/>
          <w:lang w:val="fr-BE"/>
        </w:rPr>
        <w:t>;</w:t>
      </w:r>
    </w:p>
    <w:p w:rsidR="00C135C2" w:rsidRPr="00D333A9" w:rsidRDefault="00C135C2" w:rsidP="00F2339C">
      <w:pPr>
        <w:pStyle w:val="Paragraphedeliste"/>
        <w:numPr>
          <w:ilvl w:val="2"/>
          <w:numId w:val="10"/>
        </w:numPr>
        <w:autoSpaceDE w:val="0"/>
        <w:autoSpaceDN w:val="0"/>
        <w:adjustRightInd w:val="0"/>
        <w:ind w:left="1418"/>
        <w:rPr>
          <w:rFonts w:ascii="ArialMT" w:hAnsi="ArialMT" w:cs="ArialMT"/>
          <w:lang w:val="fr-BE"/>
        </w:rPr>
      </w:pPr>
      <w:r w:rsidRPr="00D333A9">
        <w:rPr>
          <w:rFonts w:ascii="ArialMT" w:hAnsi="ArialMT" w:cs="ArialMT"/>
          <w:lang w:val="fr-BE"/>
        </w:rPr>
        <w:t>sachant qu’un nombre considérable de grossesses ne sont pas planifiées, les professionnels de la santé devraient informer les femmes en âge de procréer des risques encourus et les aider à tout faire pour réduire au maximum une exposition prénatale à l’alcool.</w:t>
      </w:r>
    </w:p>
    <w:p w:rsidR="00C135C2" w:rsidRPr="00D333A9" w:rsidRDefault="00C135C2" w:rsidP="00F2339C">
      <w:pPr>
        <w:pStyle w:val="Paragraphedeliste"/>
        <w:numPr>
          <w:ilvl w:val="0"/>
          <w:numId w:val="4"/>
        </w:numPr>
        <w:ind w:left="993" w:hanging="502"/>
        <w:rPr>
          <w:rFonts w:ascii="ArialMT" w:hAnsi="ArialMT" w:cs="ArialMT"/>
          <w:lang w:val="fr-BE"/>
        </w:rPr>
      </w:pPr>
      <w:r w:rsidRPr="00D333A9">
        <w:rPr>
          <w:rFonts w:ascii="ArialMT" w:hAnsi="ArialMT" w:cs="ArialMT"/>
          <w:lang w:val="fr-BE"/>
        </w:rPr>
        <w:t>Aux femmes enceintes</w:t>
      </w:r>
      <w:r w:rsidR="00D73A59">
        <w:rPr>
          <w:rFonts w:ascii="ArialMT" w:hAnsi="ArialMT" w:cs="ArialMT"/>
          <w:lang w:val="fr-BE"/>
        </w:rPr>
        <w:t xml:space="preserve"> </w:t>
      </w:r>
      <w:r w:rsidRPr="00D333A9">
        <w:rPr>
          <w:rFonts w:ascii="ArialMT" w:hAnsi="ArialMT" w:cs="ArialMT"/>
          <w:lang w:val="fr-BE"/>
        </w:rPr>
        <w:t>:</w:t>
      </w:r>
    </w:p>
    <w:p w:rsidR="00C135C2" w:rsidRPr="00D333A9" w:rsidRDefault="00C135C2" w:rsidP="00F2339C">
      <w:pPr>
        <w:pStyle w:val="Paragraphedeliste"/>
        <w:numPr>
          <w:ilvl w:val="2"/>
          <w:numId w:val="10"/>
        </w:numPr>
        <w:autoSpaceDE w:val="0"/>
        <w:autoSpaceDN w:val="0"/>
        <w:adjustRightInd w:val="0"/>
        <w:ind w:left="1418"/>
        <w:rPr>
          <w:rFonts w:ascii="ArialMT" w:hAnsi="ArialMT" w:cs="ArialMT"/>
          <w:lang w:val="fr-BE"/>
        </w:rPr>
      </w:pPr>
      <w:r w:rsidRPr="00D333A9">
        <w:rPr>
          <w:rFonts w:ascii="ArialMT" w:hAnsi="ArialMT" w:cs="ArialMT"/>
          <w:lang w:val="fr-BE"/>
        </w:rPr>
        <w:t>ne buvez pas d’alcool durant votre grossesse, à quelque moment que ce soit</w:t>
      </w:r>
      <w:r w:rsidR="00D73A59">
        <w:rPr>
          <w:rFonts w:ascii="ArialMT" w:hAnsi="ArialMT" w:cs="ArialMT"/>
          <w:lang w:val="fr-BE"/>
        </w:rPr>
        <w:t xml:space="preserve"> </w:t>
      </w:r>
      <w:r w:rsidRPr="00D333A9">
        <w:rPr>
          <w:rFonts w:ascii="ArialMT" w:hAnsi="ArialMT" w:cs="ArialMT"/>
          <w:lang w:val="fr-BE"/>
        </w:rPr>
        <w:t>;</w:t>
      </w:r>
    </w:p>
    <w:p w:rsidR="00C135C2" w:rsidRPr="00D333A9" w:rsidRDefault="00C135C2" w:rsidP="00F2339C">
      <w:pPr>
        <w:pStyle w:val="Paragraphedeliste"/>
        <w:numPr>
          <w:ilvl w:val="2"/>
          <w:numId w:val="10"/>
        </w:numPr>
        <w:autoSpaceDE w:val="0"/>
        <w:autoSpaceDN w:val="0"/>
        <w:adjustRightInd w:val="0"/>
        <w:ind w:left="1418"/>
        <w:rPr>
          <w:rFonts w:ascii="ArialMT" w:hAnsi="ArialMT" w:cs="ArialMT"/>
          <w:lang w:val="fr-BE"/>
        </w:rPr>
      </w:pPr>
      <w:r w:rsidRPr="00D333A9">
        <w:rPr>
          <w:rFonts w:ascii="ArialMT" w:hAnsi="ArialMT" w:cs="ArialMT"/>
          <w:lang w:val="fr-BE"/>
        </w:rPr>
        <w:t>si vous avez déjà consommé de l’alcool alors que vous êtes enceinte, arrêtez pour diminuer les risques futurs</w:t>
      </w:r>
      <w:r w:rsidR="00D73A59">
        <w:rPr>
          <w:rFonts w:ascii="ArialMT" w:hAnsi="ArialMT" w:cs="ArialMT"/>
          <w:lang w:val="fr-BE"/>
        </w:rPr>
        <w:t xml:space="preserve"> </w:t>
      </w:r>
      <w:r w:rsidRPr="00D333A9">
        <w:rPr>
          <w:rFonts w:ascii="ArialMT" w:hAnsi="ArialMT" w:cs="ArialMT"/>
          <w:lang w:val="fr-BE"/>
        </w:rPr>
        <w:t>;</w:t>
      </w:r>
    </w:p>
    <w:p w:rsidR="00C135C2" w:rsidRPr="00D333A9" w:rsidRDefault="00C135C2" w:rsidP="00F2339C">
      <w:pPr>
        <w:pStyle w:val="Paragraphedeliste"/>
        <w:numPr>
          <w:ilvl w:val="2"/>
          <w:numId w:val="10"/>
        </w:numPr>
        <w:autoSpaceDE w:val="0"/>
        <w:autoSpaceDN w:val="0"/>
        <w:adjustRightInd w:val="0"/>
        <w:ind w:left="1418"/>
        <w:rPr>
          <w:rFonts w:ascii="ArialMT" w:hAnsi="ArialMT" w:cs="ArialMT"/>
          <w:lang w:val="fr-BE"/>
        </w:rPr>
      </w:pPr>
      <w:r w:rsidRPr="00D333A9">
        <w:rPr>
          <w:rFonts w:ascii="ArialMT" w:hAnsi="ArialMT" w:cs="ArialMT"/>
          <w:lang w:val="fr-BE"/>
        </w:rPr>
        <w:t>chaque grossesse est différente et ce n’est pas parce que vous avez eu un enfant en bonne santé alors que vous aviez consommé de l’alcool que celui que vous portez ne risque rien.</w:t>
      </w:r>
    </w:p>
    <w:p w:rsidR="00C135C2" w:rsidRPr="00D333A9" w:rsidRDefault="00C135C2" w:rsidP="00F2339C">
      <w:pPr>
        <w:pStyle w:val="Paragraphedeliste"/>
        <w:numPr>
          <w:ilvl w:val="0"/>
          <w:numId w:val="4"/>
        </w:numPr>
        <w:autoSpaceDE w:val="0"/>
        <w:autoSpaceDN w:val="0"/>
        <w:adjustRightInd w:val="0"/>
        <w:ind w:left="993" w:hanging="502"/>
        <w:rPr>
          <w:rFonts w:ascii="ArialMT" w:hAnsi="ArialMT" w:cs="ArialMT"/>
          <w:lang w:val="fr-BE"/>
        </w:rPr>
      </w:pPr>
      <w:r w:rsidRPr="00D333A9">
        <w:rPr>
          <w:rFonts w:ascii="ArialMT" w:hAnsi="ArialMT" w:cs="ArialMT"/>
          <w:lang w:val="fr-BE"/>
        </w:rPr>
        <w:t>Aux femmes allaitantes :</w:t>
      </w:r>
    </w:p>
    <w:p w:rsidR="00C135C2" w:rsidRPr="00D333A9" w:rsidRDefault="00C135C2" w:rsidP="00F2339C">
      <w:pPr>
        <w:pStyle w:val="Paragraphedeliste"/>
        <w:numPr>
          <w:ilvl w:val="2"/>
          <w:numId w:val="10"/>
        </w:numPr>
        <w:autoSpaceDE w:val="0"/>
        <w:autoSpaceDN w:val="0"/>
        <w:adjustRightInd w:val="0"/>
        <w:ind w:left="1418"/>
        <w:rPr>
          <w:rFonts w:ascii="ArialMT" w:hAnsi="ArialMT" w:cs="ArialMT"/>
          <w:lang w:val="fr-BE"/>
        </w:rPr>
      </w:pPr>
      <w:r w:rsidRPr="00D333A9">
        <w:rPr>
          <w:rFonts w:ascii="ArialMT" w:hAnsi="ArialMT" w:cs="ArialMT"/>
          <w:lang w:val="fr-BE"/>
        </w:rPr>
        <w:t>évitez autant que possible la consommation d’alcool ;</w:t>
      </w:r>
    </w:p>
    <w:p w:rsidR="00C135C2" w:rsidRPr="00D333A9" w:rsidRDefault="00C135C2" w:rsidP="00F2339C">
      <w:pPr>
        <w:pStyle w:val="Paragraphedeliste"/>
        <w:numPr>
          <w:ilvl w:val="2"/>
          <w:numId w:val="10"/>
        </w:numPr>
        <w:autoSpaceDE w:val="0"/>
        <w:autoSpaceDN w:val="0"/>
        <w:adjustRightInd w:val="0"/>
        <w:ind w:left="1418"/>
        <w:rPr>
          <w:rFonts w:ascii="ArialMT" w:hAnsi="ArialMT" w:cs="ArialMT"/>
          <w:lang w:val="fr-BE"/>
        </w:rPr>
      </w:pPr>
      <w:r w:rsidRPr="00D333A9">
        <w:rPr>
          <w:rFonts w:ascii="ArialMT" w:hAnsi="ArialMT" w:cs="ArialMT"/>
          <w:lang w:val="fr-BE"/>
        </w:rPr>
        <w:t>si vous choisissez néanmoins de consommer de l’alcool, adaptez vos horaires de tétées</w:t>
      </w:r>
      <w:r w:rsidR="00D73A59">
        <w:rPr>
          <w:rFonts w:ascii="ArialMT" w:hAnsi="ArialMT" w:cs="ArialMT"/>
          <w:lang w:val="fr-BE"/>
        </w:rPr>
        <w:t xml:space="preserve"> </w:t>
      </w:r>
      <w:r w:rsidRPr="00D333A9">
        <w:rPr>
          <w:rFonts w:ascii="ArialMT" w:hAnsi="ArialMT" w:cs="ArialMT"/>
          <w:lang w:val="fr-BE"/>
        </w:rPr>
        <w:t>: retardez la tétée (période d’attente variable selon la quantité d’alcool consommé et du poids de la mère</w:t>
      </w:r>
      <w:r w:rsidR="00D73A59">
        <w:rPr>
          <w:rFonts w:ascii="ArialMT" w:hAnsi="ArialMT" w:cs="ArialMT"/>
          <w:lang w:val="fr-BE"/>
        </w:rPr>
        <w:t xml:space="preserve"> </w:t>
      </w:r>
      <w:r w:rsidRPr="00D333A9">
        <w:rPr>
          <w:rFonts w:ascii="ArialMT" w:hAnsi="ArialMT" w:cs="ArialMT"/>
          <w:lang w:val="fr-BE"/>
        </w:rPr>
        <w:t>; p.ex. pour 1 verre consommé en 30 min au moins par une femme de 70 kg, il est conseillé d’attendre au moins 2</w:t>
      </w:r>
      <w:r w:rsidR="00D73A59">
        <w:rPr>
          <w:rFonts w:ascii="ArialMT" w:hAnsi="ArialMT" w:cs="ArialMT"/>
          <w:lang w:val="fr-BE"/>
        </w:rPr>
        <w:t xml:space="preserve"> </w:t>
      </w:r>
      <w:r w:rsidRPr="00D333A9">
        <w:rPr>
          <w:rFonts w:ascii="ArialMT" w:hAnsi="ArialMT" w:cs="ArialMT"/>
          <w:lang w:val="fr-BE"/>
        </w:rPr>
        <w:t>h avant d’allaiter) ou alors exprimez le lait avant la consommation d’alcool.</w:t>
      </w:r>
    </w:p>
    <w:p w:rsidR="006F024E" w:rsidRPr="00D333A9" w:rsidRDefault="006F024E" w:rsidP="006F024E">
      <w:pPr>
        <w:rPr>
          <w:rFonts w:cs="Arial"/>
          <w:lang w:val="fr-BE"/>
        </w:rPr>
      </w:pPr>
    </w:p>
    <w:p w:rsidR="00E966BC" w:rsidRPr="00D333A9" w:rsidRDefault="00E966BC" w:rsidP="00E966BC">
      <w:pPr>
        <w:pStyle w:val="Titre5"/>
      </w:pPr>
      <w:r w:rsidRPr="00D333A9">
        <w:t xml:space="preserve">Recommandations nutritionnelles pour la Belgique </w:t>
      </w:r>
      <w:r w:rsidR="00E63922" w:rsidRPr="00D333A9">
        <w:t xml:space="preserve">(CSS 9285, </w:t>
      </w:r>
      <w:r w:rsidRPr="00D333A9">
        <w:t xml:space="preserve"> 2016</w:t>
      </w:r>
      <w:r w:rsidR="00E63922" w:rsidRPr="00D333A9">
        <w:t>)</w:t>
      </w:r>
    </w:p>
    <w:p w:rsidR="00E966BC" w:rsidRPr="00D333A9" w:rsidRDefault="00E966BC" w:rsidP="00E966BC">
      <w:pPr>
        <w:rPr>
          <w:rFonts w:cs="Arial"/>
          <w:lang w:val="fr-BE"/>
        </w:rPr>
      </w:pPr>
      <w:r w:rsidRPr="00D333A9">
        <w:rPr>
          <w:lang w:val="fr-BE"/>
        </w:rPr>
        <w:t>Dans les Recommandations nutritionnelles pour la Belgique (CSS</w:t>
      </w:r>
      <w:r w:rsidR="00E63922" w:rsidRPr="00D333A9">
        <w:rPr>
          <w:lang w:val="fr-BE"/>
        </w:rPr>
        <w:t xml:space="preserve"> 9285</w:t>
      </w:r>
      <w:r w:rsidRPr="00D333A9">
        <w:rPr>
          <w:lang w:val="fr-BE"/>
        </w:rPr>
        <w:t>, 2016), le lien entre la consommation d'alcool et la santé est abordé de manière sommaire</w:t>
      </w:r>
      <w:r w:rsidR="00E63922" w:rsidRPr="00D333A9">
        <w:rPr>
          <w:lang w:val="fr-BE"/>
        </w:rPr>
        <w:t xml:space="preserve">. </w:t>
      </w:r>
      <w:r w:rsidRPr="00D333A9">
        <w:rPr>
          <w:lang w:val="fr-BE"/>
        </w:rPr>
        <w:t xml:space="preserve"> </w:t>
      </w:r>
      <w:r w:rsidR="004558A2">
        <w:rPr>
          <w:lang w:val="fr-BE"/>
        </w:rPr>
        <w:t>L</w:t>
      </w:r>
      <w:r w:rsidRPr="00D333A9">
        <w:rPr>
          <w:lang w:val="fr-BE"/>
        </w:rPr>
        <w:t>es adultes désirant consommer de l'alcool devraient limiter leur consommation à &lt; 4 % de leurs besoins énergétiques. Pour une personne dont les besoins énergétiques se situent entre 2000 et 2500 kcal/j, cela signifie pas plus de 80</w:t>
      </w:r>
      <w:r w:rsidR="00650425">
        <w:rPr>
          <w:lang w:val="fr-BE"/>
        </w:rPr>
        <w:t xml:space="preserve"> </w:t>
      </w:r>
      <w:r w:rsidRPr="00D333A9">
        <w:rPr>
          <w:lang w:val="fr-BE"/>
        </w:rPr>
        <w:t>-</w:t>
      </w:r>
      <w:r w:rsidR="00650425">
        <w:rPr>
          <w:lang w:val="fr-BE"/>
        </w:rPr>
        <w:t xml:space="preserve"> </w:t>
      </w:r>
      <w:r w:rsidRPr="00D333A9">
        <w:rPr>
          <w:lang w:val="fr-BE"/>
        </w:rPr>
        <w:t>100 kcal provenant de l'alcool. Compte tenu de l'apport énergétique de l'alcool, cela correspond à environ &lt; 10 à 15 g d'alcool. Une bouteille de bière (250 ml), un verre de vin (120 ml) ou un verre de spiritueux (40 ml) correspond à environ 12 g d'alcool. Par conséquent, les quantités d'alcool consommées devraient se limiter à &lt; 10 g/j (une consommation) pour les femmes et &lt; 20 g/j (deux consommations) pour les hommes (CSS, 2016).</w:t>
      </w:r>
    </w:p>
    <w:p w:rsidR="006F024E" w:rsidRPr="00D333A9" w:rsidRDefault="006F024E" w:rsidP="006F024E">
      <w:pPr>
        <w:rPr>
          <w:rFonts w:cs="Arial"/>
          <w:lang w:val="fr-BE"/>
        </w:rPr>
      </w:pPr>
    </w:p>
    <w:p w:rsidR="006F024E" w:rsidRPr="00D333A9" w:rsidRDefault="00E966BC" w:rsidP="00584EFB">
      <w:pPr>
        <w:pStyle w:val="Titre4"/>
        <w:numPr>
          <w:ilvl w:val="3"/>
          <w:numId w:val="18"/>
        </w:numPr>
        <w:rPr>
          <w:lang w:val="nl-NL"/>
        </w:rPr>
      </w:pPr>
      <w:r w:rsidRPr="00D333A9">
        <w:rPr>
          <w:lang w:val="nl-NL"/>
        </w:rPr>
        <w:t>Directive du</w:t>
      </w:r>
      <w:r w:rsidR="006F024E" w:rsidRPr="00D333A9">
        <w:rPr>
          <w:lang w:val="nl-NL"/>
        </w:rPr>
        <w:t xml:space="preserve"> Vlaams Expertisecentrum Alcohol en andere Drugs (VAD)</w:t>
      </w:r>
    </w:p>
    <w:p w:rsidR="00E966BC" w:rsidRPr="00D333A9" w:rsidRDefault="00E966BC" w:rsidP="00E966BC">
      <w:pPr>
        <w:rPr>
          <w:rFonts w:cs="Arial"/>
          <w:lang w:val="fr-BE"/>
        </w:rPr>
      </w:pPr>
      <w:r w:rsidRPr="00D333A9">
        <w:rPr>
          <w:lang w:val="fr-BE"/>
        </w:rPr>
        <w:t xml:space="preserve">En 2016, le </w:t>
      </w:r>
      <w:r w:rsidRPr="00D333A9">
        <w:rPr>
          <w:i/>
          <w:lang w:val="fr-BE"/>
        </w:rPr>
        <w:t xml:space="preserve">Vlaams </w:t>
      </w:r>
      <w:proofErr w:type="spellStart"/>
      <w:r w:rsidRPr="00D333A9">
        <w:rPr>
          <w:i/>
          <w:lang w:val="fr-BE"/>
        </w:rPr>
        <w:t>Expertisecentrum</w:t>
      </w:r>
      <w:proofErr w:type="spellEnd"/>
      <w:r w:rsidRPr="00D333A9">
        <w:rPr>
          <w:i/>
          <w:lang w:val="fr-BE"/>
        </w:rPr>
        <w:t xml:space="preserve"> </w:t>
      </w:r>
      <w:proofErr w:type="spellStart"/>
      <w:r w:rsidRPr="00D333A9">
        <w:rPr>
          <w:i/>
          <w:lang w:val="fr-BE"/>
        </w:rPr>
        <w:t>Alcohol</w:t>
      </w:r>
      <w:proofErr w:type="spellEnd"/>
      <w:r w:rsidRPr="00D333A9">
        <w:rPr>
          <w:i/>
          <w:lang w:val="fr-BE"/>
        </w:rPr>
        <w:t xml:space="preserve"> en </w:t>
      </w:r>
      <w:proofErr w:type="spellStart"/>
      <w:r w:rsidRPr="00D333A9">
        <w:rPr>
          <w:i/>
          <w:lang w:val="fr-BE"/>
        </w:rPr>
        <w:t>andere</w:t>
      </w:r>
      <w:proofErr w:type="spellEnd"/>
      <w:r w:rsidRPr="00D333A9">
        <w:rPr>
          <w:i/>
          <w:lang w:val="fr-BE"/>
        </w:rPr>
        <w:t xml:space="preserve"> </w:t>
      </w:r>
      <w:proofErr w:type="spellStart"/>
      <w:r w:rsidRPr="00D333A9">
        <w:rPr>
          <w:i/>
          <w:lang w:val="fr-BE"/>
        </w:rPr>
        <w:t>Drugs</w:t>
      </w:r>
      <w:proofErr w:type="spellEnd"/>
      <w:r w:rsidRPr="00D333A9">
        <w:rPr>
          <w:lang w:val="fr-BE"/>
        </w:rPr>
        <w:t xml:space="preserve"> a publié une nouvelle directive, reposant sur des bases scientifiques, relative à la consommation d'alcool (VAD, 2016). Cette directive est basée sur un rapport détaillé concernant l'impact de l'alcool, les schémas de consommation et les risques pour la population et pour des groupes à risque spécifiques. Ce rapport repose quant à lui sur des données issues de la littérature internationale (De </w:t>
      </w:r>
      <w:proofErr w:type="spellStart"/>
      <w:r w:rsidRPr="00D333A9">
        <w:rPr>
          <w:lang w:val="fr-BE"/>
        </w:rPr>
        <w:t>Doncker</w:t>
      </w:r>
      <w:proofErr w:type="spellEnd"/>
      <w:r w:rsidRPr="00D333A9">
        <w:rPr>
          <w:lang w:val="fr-BE"/>
        </w:rPr>
        <w:t xml:space="preserve"> et al., 2015).</w:t>
      </w:r>
    </w:p>
    <w:p w:rsidR="00E966BC" w:rsidRPr="00D333A9" w:rsidRDefault="00E966BC" w:rsidP="00E966BC">
      <w:pPr>
        <w:rPr>
          <w:rFonts w:cs="Arial"/>
          <w:lang w:val="fr-BE"/>
        </w:rPr>
      </w:pPr>
      <w:r w:rsidRPr="00D333A9">
        <w:rPr>
          <w:lang w:val="fr-BE"/>
        </w:rPr>
        <w:t>La directive s'adresse aux femmes et aux hommes de plus de 18 ans. Il est recommandé aux jeunes de moins de 18 ans de ne pas boire d'alcool. Les femmes qui envisagent une grossesse, qui sont enceintes ou qui allaitent ne devraient pas boire d'alcool. Il est recommandé ce qui suit à la population adulte :</w:t>
      </w:r>
    </w:p>
    <w:p w:rsidR="00E966BC" w:rsidRPr="00D333A9" w:rsidRDefault="00E966BC" w:rsidP="00E966BC">
      <w:pPr>
        <w:rPr>
          <w:rFonts w:cs="Arial"/>
          <w:lang w:val="fr-BE"/>
        </w:rPr>
      </w:pPr>
      <w:r w:rsidRPr="00D333A9">
        <w:rPr>
          <w:lang w:val="fr-BE"/>
        </w:rPr>
        <w:t xml:space="preserve">« Pour limiter les risques de la consommation d'alcool, il est préférable de ne pas boire plus de 10 verres standard par semaine. </w:t>
      </w:r>
    </w:p>
    <w:p w:rsidR="00E966BC" w:rsidRPr="00D333A9" w:rsidRDefault="00E966BC" w:rsidP="00E966BC">
      <w:pPr>
        <w:rPr>
          <w:rFonts w:cs="Arial"/>
          <w:bCs/>
          <w:lang w:val="fr-BE"/>
        </w:rPr>
      </w:pPr>
      <w:r w:rsidRPr="00D333A9">
        <w:rPr>
          <w:lang w:val="fr-BE"/>
        </w:rPr>
        <w:t>Si vous ne souhaitez courir aucun risque, il est préférable de ne pas boire d'alcool. Si vous consommez de l'alcool, répartissez votre consommation sur plusieurs jours de la semaine et ne buvez pas certains jours. »</w:t>
      </w:r>
    </w:p>
    <w:p w:rsidR="00E966BC" w:rsidRPr="00D333A9" w:rsidRDefault="00E966BC" w:rsidP="00E966BC">
      <w:pPr>
        <w:pStyle w:val="Default"/>
        <w:jc w:val="both"/>
        <w:rPr>
          <w:rFonts w:ascii="Arial" w:hAnsi="Arial" w:cs="Arial"/>
          <w:sz w:val="22"/>
          <w:szCs w:val="22"/>
          <w:lang w:val="fr-BE"/>
        </w:rPr>
      </w:pPr>
    </w:p>
    <w:p w:rsidR="00E966BC" w:rsidRPr="00D333A9" w:rsidRDefault="00E966BC" w:rsidP="00E966BC">
      <w:pPr>
        <w:pStyle w:val="Default"/>
        <w:jc w:val="both"/>
        <w:rPr>
          <w:rFonts w:ascii="Arial" w:hAnsi="Arial" w:cs="Arial"/>
          <w:sz w:val="22"/>
          <w:szCs w:val="22"/>
          <w:lang w:val="fr-FR"/>
        </w:rPr>
      </w:pPr>
      <w:r w:rsidRPr="00D333A9">
        <w:rPr>
          <w:rFonts w:ascii="Arial" w:hAnsi="Arial"/>
          <w:sz w:val="22"/>
          <w:szCs w:val="22"/>
          <w:lang w:val="fr-BE"/>
        </w:rPr>
        <w:t>La directive mentionne que « certains groupes de la population sont davantage exposés au risque d'effets négatifs de la consommation d'alcool. Ils doivent dès lors faire preuve de prudence dans leur consommation et, de préférence, demander un accompagnement : personnes âgées, jeunes adultes de 18 à 24 ans, personnes qui prennent des médicaments, personnes qui consomment d'autres drogues, personnes atteintes de problèmes de santé, personnes atteintes de problèmes psychiques, personnes de faible poids corporel, personnes ayant des antécédents familiaux de problèmes d'alcool. »</w:t>
      </w:r>
    </w:p>
    <w:p w:rsidR="00E966BC" w:rsidRPr="00D333A9" w:rsidRDefault="00E966BC" w:rsidP="00E966BC">
      <w:pPr>
        <w:pStyle w:val="Default"/>
        <w:jc w:val="both"/>
        <w:rPr>
          <w:rFonts w:ascii="Arial" w:hAnsi="Arial" w:cs="Arial"/>
          <w:sz w:val="22"/>
          <w:szCs w:val="22"/>
          <w:lang w:val="fr-BE"/>
        </w:rPr>
      </w:pPr>
    </w:p>
    <w:p w:rsidR="00E966BC" w:rsidRPr="00D333A9" w:rsidRDefault="00E966BC" w:rsidP="00E966BC">
      <w:pPr>
        <w:pStyle w:val="Default"/>
        <w:jc w:val="both"/>
        <w:rPr>
          <w:rFonts w:ascii="Arial" w:hAnsi="Arial" w:cs="Arial"/>
          <w:sz w:val="22"/>
          <w:szCs w:val="22"/>
          <w:lang w:val="fr-FR"/>
        </w:rPr>
      </w:pPr>
      <w:r w:rsidRPr="00D333A9">
        <w:rPr>
          <w:rFonts w:ascii="Arial" w:hAnsi="Arial"/>
          <w:sz w:val="22"/>
          <w:szCs w:val="22"/>
          <w:lang w:val="fr-BE"/>
        </w:rPr>
        <w:t xml:space="preserve">La directive recommande de </w:t>
      </w:r>
      <w:r w:rsidR="00E63922" w:rsidRPr="00D333A9">
        <w:rPr>
          <w:rFonts w:ascii="Arial" w:hAnsi="Arial"/>
          <w:sz w:val="22"/>
          <w:szCs w:val="22"/>
          <w:lang w:val="fr-BE"/>
        </w:rPr>
        <w:t>« </w:t>
      </w:r>
      <w:r w:rsidRPr="00D333A9">
        <w:rPr>
          <w:rFonts w:ascii="Arial" w:hAnsi="Arial"/>
          <w:sz w:val="22"/>
          <w:szCs w:val="22"/>
          <w:lang w:val="fr-BE"/>
        </w:rPr>
        <w:t>ne pas boire d'alcool si vous conduisez un véhicule ; avant, pendant et immédiatement après des efforts physiques ou la pratique d'un sport ; si vous utilisez des machines, des appareils électriques, des échelles, etc. ; avant et pendant le travail ; lorsque vous êtes responsable de la sécurité d'autrui ; durant des activités exigeant votre vigilance et certaines aptitudes. »</w:t>
      </w:r>
    </w:p>
    <w:p w:rsidR="006F024E" w:rsidRPr="00D333A9" w:rsidRDefault="006F024E" w:rsidP="00B07709">
      <w:pPr>
        <w:shd w:val="clear" w:color="auto" w:fill="FFFFFF"/>
        <w:rPr>
          <w:rFonts w:cs="Arial"/>
          <w:color w:val="000000"/>
          <w:lang w:val="fr-FR"/>
        </w:rPr>
      </w:pPr>
    </w:p>
    <w:p w:rsidR="00500749" w:rsidRPr="00D333A9" w:rsidRDefault="00500749" w:rsidP="00584EFB">
      <w:pPr>
        <w:pStyle w:val="Titre3"/>
      </w:pPr>
      <w:proofErr w:type="spellStart"/>
      <w:r w:rsidRPr="00D333A9">
        <w:t>Recommandations</w:t>
      </w:r>
      <w:proofErr w:type="spellEnd"/>
      <w:r w:rsidRPr="00D333A9">
        <w:t xml:space="preserve"> </w:t>
      </w:r>
      <w:proofErr w:type="spellStart"/>
      <w:r w:rsidR="000E5F56" w:rsidRPr="00D333A9">
        <w:t>générales</w:t>
      </w:r>
      <w:proofErr w:type="spellEnd"/>
    </w:p>
    <w:p w:rsidR="00500749" w:rsidRPr="00D333A9" w:rsidRDefault="00E5044C" w:rsidP="00B07709">
      <w:pPr>
        <w:shd w:val="clear" w:color="auto" w:fill="FFFFFF"/>
        <w:rPr>
          <w:rFonts w:cs="Arial"/>
          <w:color w:val="000000"/>
          <w:lang w:val="fr-BE"/>
        </w:rPr>
      </w:pPr>
      <w:r w:rsidRPr="00D333A9">
        <w:rPr>
          <w:rFonts w:cs="Arial"/>
          <w:color w:val="000000"/>
          <w:lang w:val="fr-BE"/>
        </w:rPr>
        <w:t>C</w:t>
      </w:r>
      <w:r w:rsidR="00500749" w:rsidRPr="00D333A9">
        <w:rPr>
          <w:rFonts w:cs="Arial"/>
          <w:color w:val="000000"/>
          <w:lang w:val="fr-BE"/>
        </w:rPr>
        <w:t xml:space="preserve">es directives et rapports sur la consommation d’alcool </w:t>
      </w:r>
      <w:r w:rsidR="001254C2" w:rsidRPr="00D333A9">
        <w:rPr>
          <w:rFonts w:cs="Arial"/>
          <w:color w:val="000000"/>
          <w:lang w:val="fr-BE"/>
        </w:rPr>
        <w:t>font</w:t>
      </w:r>
      <w:r w:rsidR="00500749" w:rsidRPr="00D333A9">
        <w:rPr>
          <w:rFonts w:cs="Arial"/>
          <w:color w:val="000000"/>
          <w:lang w:val="fr-BE"/>
        </w:rPr>
        <w:t xml:space="preserve"> aussi des recommandations concernant les </w:t>
      </w:r>
      <w:r w:rsidR="000E5F56" w:rsidRPr="00D333A9">
        <w:rPr>
          <w:rFonts w:cs="Arial"/>
          <w:color w:val="000000"/>
          <w:lang w:val="fr-BE"/>
        </w:rPr>
        <w:t xml:space="preserve">stratégies </w:t>
      </w:r>
      <w:r w:rsidR="00500749" w:rsidRPr="00D333A9">
        <w:rPr>
          <w:rFonts w:cs="Arial"/>
          <w:color w:val="000000"/>
          <w:lang w:val="fr-BE"/>
        </w:rPr>
        <w:t>à me</w:t>
      </w:r>
      <w:r w:rsidR="000E5F56" w:rsidRPr="00D333A9">
        <w:rPr>
          <w:rFonts w:cs="Arial"/>
          <w:color w:val="000000"/>
          <w:lang w:val="fr-BE"/>
        </w:rPr>
        <w:t>ttre en place</w:t>
      </w:r>
      <w:r w:rsidR="00500749" w:rsidRPr="00D333A9">
        <w:rPr>
          <w:rFonts w:cs="Arial"/>
          <w:color w:val="000000"/>
          <w:lang w:val="fr-BE"/>
        </w:rPr>
        <w:t xml:space="preserve"> pour accompagner ces </w:t>
      </w:r>
      <w:r w:rsidR="001254C2" w:rsidRPr="00D333A9">
        <w:rPr>
          <w:rFonts w:cs="Arial"/>
          <w:color w:val="000000"/>
          <w:lang w:val="fr-BE"/>
        </w:rPr>
        <w:t>repères de</w:t>
      </w:r>
      <w:r w:rsidR="00500749" w:rsidRPr="00D333A9">
        <w:rPr>
          <w:rFonts w:cs="Arial"/>
          <w:color w:val="000000"/>
          <w:lang w:val="fr-BE"/>
        </w:rPr>
        <w:t xml:space="preserve"> consommation</w:t>
      </w:r>
      <w:r w:rsidR="00592B9C" w:rsidRPr="00D333A9">
        <w:rPr>
          <w:rFonts w:cs="Arial"/>
          <w:color w:val="000000"/>
          <w:lang w:val="fr-BE"/>
        </w:rPr>
        <w:t>,</w:t>
      </w:r>
      <w:r w:rsidR="00500749" w:rsidRPr="00D333A9">
        <w:rPr>
          <w:rFonts w:cs="Arial"/>
          <w:color w:val="000000"/>
          <w:lang w:val="fr-BE"/>
        </w:rPr>
        <w:t xml:space="preserve"> </w:t>
      </w:r>
      <w:r w:rsidR="00592B9C" w:rsidRPr="00D333A9">
        <w:rPr>
          <w:rFonts w:cs="Arial"/>
          <w:color w:val="000000"/>
          <w:lang w:val="fr-BE"/>
        </w:rPr>
        <w:t>de manière à ce qu’</w:t>
      </w:r>
      <w:r w:rsidR="001254C2" w:rsidRPr="00D333A9">
        <w:rPr>
          <w:rFonts w:cs="Arial"/>
          <w:color w:val="000000"/>
          <w:lang w:val="fr-BE"/>
        </w:rPr>
        <w:t>ils</w:t>
      </w:r>
      <w:r w:rsidR="00592B9C" w:rsidRPr="00D333A9">
        <w:rPr>
          <w:rFonts w:cs="Arial"/>
          <w:color w:val="000000"/>
          <w:lang w:val="fr-BE"/>
        </w:rPr>
        <w:t xml:space="preserve"> aient un impact</w:t>
      </w:r>
      <w:r w:rsidR="001254C2" w:rsidRPr="00D333A9">
        <w:rPr>
          <w:rFonts w:cs="Arial"/>
          <w:color w:val="000000"/>
          <w:lang w:val="fr-BE"/>
        </w:rPr>
        <w:t xml:space="preserve"> sur la santé de la population</w:t>
      </w:r>
      <w:r w:rsidR="00500749" w:rsidRPr="00D333A9">
        <w:rPr>
          <w:rFonts w:cs="Arial"/>
          <w:color w:val="000000"/>
          <w:lang w:val="fr-BE"/>
        </w:rPr>
        <w:t xml:space="preserve">. </w:t>
      </w:r>
    </w:p>
    <w:p w:rsidR="00500749" w:rsidRPr="00D333A9" w:rsidRDefault="00500749" w:rsidP="00B07709">
      <w:pPr>
        <w:shd w:val="clear" w:color="auto" w:fill="FFFFFF"/>
        <w:rPr>
          <w:rFonts w:cs="Arial"/>
          <w:color w:val="000000"/>
          <w:lang w:val="fr-BE"/>
        </w:rPr>
      </w:pPr>
    </w:p>
    <w:p w:rsidR="007F1AAF" w:rsidRPr="00D333A9" w:rsidRDefault="007F1AAF" w:rsidP="00500749">
      <w:pPr>
        <w:spacing w:after="160" w:line="259" w:lineRule="auto"/>
        <w:rPr>
          <w:rFonts w:cs="Arial"/>
          <w:color w:val="000000"/>
          <w:lang w:val="fr-BE"/>
        </w:rPr>
      </w:pPr>
      <w:r w:rsidRPr="00D333A9">
        <w:rPr>
          <w:rFonts w:cs="Arial"/>
          <w:color w:val="000000"/>
          <w:lang w:val="fr-BE"/>
        </w:rPr>
        <w:t xml:space="preserve">En 2015, l’OCDE recommandait aux gouvernements désireux de lutter contre </w:t>
      </w:r>
      <w:r w:rsidR="00F97649" w:rsidRPr="00D333A9">
        <w:rPr>
          <w:rFonts w:cs="Arial"/>
          <w:color w:val="000000"/>
          <w:lang w:val="fr-BE"/>
        </w:rPr>
        <w:t>la consommation nocive d’alcool</w:t>
      </w:r>
      <w:r w:rsidRPr="00D333A9">
        <w:rPr>
          <w:rFonts w:cs="Arial"/>
          <w:color w:val="000000"/>
          <w:lang w:val="fr-BE"/>
        </w:rPr>
        <w:t xml:space="preserve"> de recourir à diverses mesures qui ont montré leur efficacité, </w:t>
      </w:r>
      <w:r w:rsidR="00F97649" w:rsidRPr="00D333A9">
        <w:rPr>
          <w:rFonts w:cs="Arial"/>
          <w:color w:val="000000"/>
          <w:lang w:val="fr-BE"/>
        </w:rPr>
        <w:t xml:space="preserve">et </w:t>
      </w:r>
      <w:r w:rsidRPr="00D333A9">
        <w:rPr>
          <w:rFonts w:cs="Arial"/>
          <w:color w:val="000000"/>
          <w:lang w:val="fr-BE"/>
        </w:rPr>
        <w:t>qui peuvent prendre la forme de conseils aux gros buveurs, d’une augmentation des taxes, d’un relèvement des prix, d’un durcissement de la réglementation sur la vente de boissons alcoolisées ou d’un renforcement des contrôles visant l’alcool au volant</w:t>
      </w:r>
      <w:r w:rsidR="0025301D">
        <w:rPr>
          <w:rFonts w:cs="Arial"/>
          <w:color w:val="000000"/>
          <w:lang w:val="fr-BE"/>
        </w:rPr>
        <w:t xml:space="preserve"> (OCDE, 2015)</w:t>
      </w:r>
      <w:r w:rsidRPr="00D333A9">
        <w:rPr>
          <w:rFonts w:cs="Arial"/>
          <w:color w:val="000000"/>
          <w:lang w:val="fr-BE"/>
        </w:rPr>
        <w:t>.</w:t>
      </w:r>
    </w:p>
    <w:p w:rsidR="00500749" w:rsidRPr="00D333A9" w:rsidRDefault="007F1AAF" w:rsidP="00500749">
      <w:pPr>
        <w:spacing w:after="160" w:line="259" w:lineRule="auto"/>
        <w:rPr>
          <w:rFonts w:cs="Arial"/>
          <w:lang w:val="fr-BE"/>
        </w:rPr>
      </w:pPr>
      <w:r w:rsidRPr="00D333A9">
        <w:rPr>
          <w:rFonts w:cs="Arial"/>
          <w:color w:val="000000"/>
          <w:lang w:val="fr-BE"/>
        </w:rPr>
        <w:t>A</w:t>
      </w:r>
      <w:r w:rsidR="00500749" w:rsidRPr="00D333A9">
        <w:rPr>
          <w:rFonts w:cs="Arial"/>
          <w:color w:val="000000"/>
          <w:lang w:val="fr-BE"/>
        </w:rPr>
        <w:t xml:space="preserve">u niveau européen, les rapports de la </w:t>
      </w:r>
      <w:r w:rsidR="00500749" w:rsidRPr="00D333A9">
        <w:rPr>
          <w:rFonts w:cs="Arial"/>
          <w:i/>
          <w:color w:val="000000"/>
          <w:lang w:val="fr-BE"/>
        </w:rPr>
        <w:t xml:space="preserve">Joint action </w:t>
      </w:r>
      <w:proofErr w:type="spellStart"/>
      <w:r w:rsidR="00500749" w:rsidRPr="00D333A9">
        <w:rPr>
          <w:rFonts w:cs="Arial"/>
          <w:i/>
          <w:color w:val="000000"/>
          <w:lang w:val="fr-BE"/>
        </w:rPr>
        <w:t>Rarha</w:t>
      </w:r>
      <w:proofErr w:type="spellEnd"/>
      <w:r w:rsidR="00500749" w:rsidRPr="00D333A9">
        <w:rPr>
          <w:rFonts w:cs="Arial"/>
          <w:lang w:val="fr-BE"/>
        </w:rPr>
        <w:t xml:space="preserve"> indiquent que les directives concernant la consommation ne suffisent pas pour modifier le comportement, et doivent être accompagnées d’autres mesures concernant la disponibilité, le prix, la publicité. Selon ce rapport, il faut aussi fournir une information aux consommateurs sur les contenants d'alcool, du même type que sur les contenants alimentaires. Des avertissements sanitaires devraient également y figurer, de même que les façons de réduire les risques liés à la consommation d'alcool. Pour les jeunes, il faut aussi une </w:t>
      </w:r>
      <w:r w:rsidR="000E5F56" w:rsidRPr="00D333A9">
        <w:rPr>
          <w:rFonts w:cs="Arial"/>
          <w:lang w:val="fr-BE"/>
        </w:rPr>
        <w:t xml:space="preserve">action </w:t>
      </w:r>
      <w:r w:rsidR="00500749" w:rsidRPr="00D333A9">
        <w:rPr>
          <w:rFonts w:cs="Arial"/>
          <w:lang w:val="fr-BE"/>
        </w:rPr>
        <w:t>intégrée, qui renforce et améliore la connaissance des limites d’âge pour la consommation.</w:t>
      </w:r>
    </w:p>
    <w:p w:rsidR="00500749" w:rsidRPr="00D333A9" w:rsidRDefault="00500749" w:rsidP="00500749">
      <w:pPr>
        <w:autoSpaceDE w:val="0"/>
        <w:autoSpaceDN w:val="0"/>
        <w:adjustRightInd w:val="0"/>
        <w:rPr>
          <w:rFonts w:cs="Arial"/>
          <w:color w:val="000000"/>
          <w:lang w:val="fr-BE"/>
        </w:rPr>
      </w:pPr>
      <w:r w:rsidRPr="00D333A9">
        <w:rPr>
          <w:rFonts w:cs="Arial"/>
          <w:lang w:val="fr-BE"/>
        </w:rPr>
        <w:t xml:space="preserve">En France, le rapport de Santé Publique France indique aussi que </w:t>
      </w:r>
      <w:r w:rsidRPr="00D333A9">
        <w:rPr>
          <w:rFonts w:cs="Arial"/>
          <w:color w:val="000000"/>
          <w:lang w:val="fr-BE"/>
        </w:rPr>
        <w:t xml:space="preserve">les repères de consommation ne sont « qu’un élément d’un discours public unifié qui se veut prévenir les risques liés à la consommation d’alcool tout en ne niant pas les intérêts économiques associés. Pour être cohérent, ce discours doit également être lié à des actions sur la fiscalité, sur la disponibilité des produits et leur promotion, ainsi que des actions d’éducation, de communication et de marketing social ». </w:t>
      </w:r>
    </w:p>
    <w:p w:rsidR="00500749" w:rsidRPr="00D333A9" w:rsidRDefault="00500749" w:rsidP="00500749">
      <w:pPr>
        <w:autoSpaceDE w:val="0"/>
        <w:autoSpaceDN w:val="0"/>
        <w:adjustRightInd w:val="0"/>
        <w:rPr>
          <w:rFonts w:cs="Arial"/>
          <w:color w:val="000000"/>
          <w:lang w:val="fr-BE"/>
        </w:rPr>
      </w:pPr>
    </w:p>
    <w:p w:rsidR="001254C2" w:rsidRPr="00D333A9" w:rsidRDefault="00500749" w:rsidP="00500749">
      <w:pPr>
        <w:autoSpaceDE w:val="0"/>
        <w:autoSpaceDN w:val="0"/>
        <w:adjustRightInd w:val="0"/>
        <w:rPr>
          <w:rFonts w:cs="Arial"/>
          <w:color w:val="000000"/>
          <w:lang w:val="fr-BE"/>
        </w:rPr>
      </w:pPr>
      <w:r w:rsidRPr="00D333A9">
        <w:rPr>
          <w:rFonts w:cs="Arial"/>
          <w:color w:val="000000"/>
          <w:lang w:val="fr-BE"/>
        </w:rPr>
        <w:t xml:space="preserve">En Belgique, </w:t>
      </w:r>
      <w:r w:rsidR="00C81E41" w:rsidRPr="00D333A9">
        <w:rPr>
          <w:rFonts w:cs="Arial"/>
          <w:color w:val="000000"/>
          <w:lang w:val="fr-BE"/>
        </w:rPr>
        <w:t>plusieurs</w:t>
      </w:r>
      <w:r w:rsidRPr="00D333A9">
        <w:rPr>
          <w:rFonts w:cs="Arial"/>
          <w:color w:val="000000"/>
          <w:lang w:val="fr-BE"/>
        </w:rPr>
        <w:t xml:space="preserve"> rapports (le rapport de la Politique Scientifique sur le coût social des drogues (</w:t>
      </w:r>
      <w:proofErr w:type="spellStart"/>
      <w:r w:rsidRPr="00D333A9">
        <w:rPr>
          <w:rFonts w:cs="Arial"/>
          <w:color w:val="000000"/>
          <w:lang w:val="fr-BE"/>
        </w:rPr>
        <w:t>Lievens</w:t>
      </w:r>
      <w:proofErr w:type="spellEnd"/>
      <w:r w:rsidRPr="00D333A9">
        <w:rPr>
          <w:rFonts w:cs="Arial"/>
          <w:color w:val="000000"/>
          <w:lang w:val="fr-BE"/>
        </w:rPr>
        <w:t xml:space="preserve"> et al., 2016), l’enquête de santé de l’ISP (</w:t>
      </w:r>
      <w:proofErr w:type="spellStart"/>
      <w:r w:rsidRPr="00D333A9">
        <w:rPr>
          <w:rFonts w:cs="Arial"/>
          <w:color w:val="000000"/>
          <w:lang w:val="fr-BE"/>
        </w:rPr>
        <w:t>Gisle</w:t>
      </w:r>
      <w:proofErr w:type="spellEnd"/>
      <w:r w:rsidRPr="00D333A9">
        <w:rPr>
          <w:rFonts w:cs="Arial"/>
          <w:color w:val="000000"/>
          <w:lang w:val="fr-BE"/>
        </w:rPr>
        <w:t xml:space="preserve"> &amp; </w:t>
      </w:r>
      <w:proofErr w:type="spellStart"/>
      <w:r w:rsidRPr="00D333A9">
        <w:rPr>
          <w:rFonts w:cs="Arial"/>
          <w:color w:val="000000"/>
          <w:lang w:val="fr-BE"/>
        </w:rPr>
        <w:t>Demarest</w:t>
      </w:r>
      <w:proofErr w:type="spellEnd"/>
      <w:r w:rsidRPr="00D333A9">
        <w:rPr>
          <w:rFonts w:cs="Arial"/>
          <w:color w:val="000000"/>
          <w:lang w:val="fr-BE"/>
        </w:rPr>
        <w:t>, 2014), le rapport du KCE (</w:t>
      </w:r>
      <w:proofErr w:type="spellStart"/>
      <w:r w:rsidRPr="00D333A9">
        <w:rPr>
          <w:rFonts w:cs="Arial"/>
          <w:color w:val="000000"/>
          <w:lang w:val="fr-BE"/>
        </w:rPr>
        <w:t>Mistiaen</w:t>
      </w:r>
      <w:proofErr w:type="spellEnd"/>
      <w:r w:rsidRPr="00D333A9">
        <w:rPr>
          <w:rFonts w:cs="Arial"/>
          <w:color w:val="000000"/>
          <w:lang w:val="fr-BE"/>
        </w:rPr>
        <w:t xml:space="preserve"> et al., 2015), le rapport de la FEDITO </w:t>
      </w:r>
      <w:r w:rsidR="0045727B" w:rsidRPr="00D333A9">
        <w:rPr>
          <w:rFonts w:cs="Arial"/>
          <w:color w:val="000000"/>
          <w:lang w:val="fr-BE"/>
        </w:rPr>
        <w:t xml:space="preserve">Bruxelloise </w:t>
      </w:r>
      <w:r w:rsidRPr="00D333A9">
        <w:rPr>
          <w:rFonts w:cs="Arial"/>
          <w:color w:val="000000"/>
          <w:lang w:val="fr-BE"/>
        </w:rPr>
        <w:t>(2016), le rapport de la VAD (2016), le rapport du groupe « </w:t>
      </w:r>
      <w:r w:rsidR="00A75C77" w:rsidRPr="00D333A9">
        <w:rPr>
          <w:rFonts w:cs="Arial"/>
          <w:color w:val="000000"/>
          <w:lang w:val="fr-BE"/>
        </w:rPr>
        <w:t>J</w:t>
      </w:r>
      <w:r w:rsidRPr="00D333A9">
        <w:rPr>
          <w:rFonts w:cs="Arial"/>
          <w:color w:val="000000"/>
          <w:lang w:val="fr-BE"/>
        </w:rPr>
        <w:t>eunes, alcool &amp;</w:t>
      </w:r>
      <w:r w:rsidR="00C81E41" w:rsidRPr="00D333A9">
        <w:rPr>
          <w:rFonts w:cs="Arial"/>
          <w:color w:val="000000"/>
          <w:lang w:val="fr-BE"/>
        </w:rPr>
        <w:t xml:space="preserve"> </w:t>
      </w:r>
      <w:r w:rsidRPr="00D333A9">
        <w:rPr>
          <w:rFonts w:cs="Arial"/>
          <w:color w:val="000000"/>
          <w:lang w:val="fr-BE"/>
        </w:rPr>
        <w:t xml:space="preserve">société ») recommandent tous depuis plusieurs années de mettre en place un plan d’action alcool global qui permette de mettre en œuvre des actions cohérentes à différents niveaux. </w:t>
      </w:r>
    </w:p>
    <w:p w:rsidR="00500749" w:rsidRPr="00D333A9" w:rsidRDefault="00500749" w:rsidP="00500749">
      <w:pPr>
        <w:autoSpaceDE w:val="0"/>
        <w:autoSpaceDN w:val="0"/>
        <w:adjustRightInd w:val="0"/>
        <w:rPr>
          <w:rFonts w:cs="Arial"/>
          <w:color w:val="000000"/>
          <w:lang w:val="fr-BE"/>
        </w:rPr>
      </w:pPr>
    </w:p>
    <w:p w:rsidR="00500749" w:rsidRPr="00D333A9" w:rsidRDefault="00500749" w:rsidP="00500749">
      <w:pPr>
        <w:autoSpaceDE w:val="0"/>
        <w:autoSpaceDN w:val="0"/>
        <w:adjustRightInd w:val="0"/>
        <w:rPr>
          <w:rFonts w:ascii="ArialMT" w:hAnsi="ArialMT" w:cs="ArialMT"/>
          <w:lang w:val="fr-BE"/>
        </w:rPr>
      </w:pPr>
      <w:r w:rsidRPr="00D333A9">
        <w:rPr>
          <w:rFonts w:cs="Arial"/>
          <w:lang w:val="fr-BE"/>
        </w:rPr>
        <w:t xml:space="preserve">En 2006 déjà, le CSS recommandait aussi de </w:t>
      </w:r>
      <w:r w:rsidRPr="00D333A9">
        <w:rPr>
          <w:rFonts w:ascii="ArialMT" w:hAnsi="ArialMT" w:cs="ArialMT"/>
          <w:lang w:val="fr-BE"/>
        </w:rPr>
        <w:t>mettre en place un plan national d’action alcool et de</w:t>
      </w:r>
      <w:r w:rsidRPr="00D333A9">
        <w:rPr>
          <w:rFonts w:cs="Arial"/>
          <w:lang w:val="fr-BE"/>
        </w:rPr>
        <w:t xml:space="preserve"> « </w:t>
      </w:r>
      <w:r w:rsidRPr="00D333A9">
        <w:rPr>
          <w:rFonts w:ascii="ArialMT" w:hAnsi="ArialMT" w:cs="ArialMT"/>
          <w:lang w:val="fr-BE"/>
        </w:rPr>
        <w:t xml:space="preserve">déployer une approche multisectorielle ; ce qui signifie une combinaison de mesures politiques et d’interventions interpersonnelles ». L’avis 8109 partait du principe énoncé par l’OMS (2001), selon lequel « les politiques sanitaires relatives à l’alcool doivent être guidées par les intérêts de la santé publique, sans interférence d’intérêts commerciaux » (OMS, 2001), et énonçait déjà toute une série de recommandations concernant le prix, la disponibilité, la publicité, l’étiquetage, la prévention, l’alcool au volant, l’intervention et la recherche. Force est de constater que, plus de 10 ans plus tard, peu de ces recommandations ont été suivies, et elles sont donc toujours d’actualité. </w:t>
      </w:r>
    </w:p>
    <w:p w:rsidR="00CC468E" w:rsidRPr="00D333A9" w:rsidRDefault="00CC468E" w:rsidP="00500749">
      <w:pPr>
        <w:autoSpaceDE w:val="0"/>
        <w:autoSpaceDN w:val="0"/>
        <w:adjustRightInd w:val="0"/>
        <w:rPr>
          <w:rFonts w:ascii="ArialMT" w:hAnsi="ArialMT" w:cs="ArialMT"/>
          <w:lang w:val="fr-BE"/>
        </w:rPr>
      </w:pPr>
    </w:p>
    <w:p w:rsidR="00CC468E" w:rsidRPr="00D333A9" w:rsidRDefault="00892A68" w:rsidP="00CC468E">
      <w:pPr>
        <w:pStyle w:val="Default"/>
        <w:jc w:val="both"/>
        <w:rPr>
          <w:rFonts w:ascii="ArialMT" w:hAnsi="ArialMT" w:cs="ArialMT"/>
          <w:color w:val="auto"/>
          <w:sz w:val="22"/>
          <w:szCs w:val="22"/>
          <w:lang w:val="fr-BE"/>
        </w:rPr>
      </w:pPr>
      <w:r w:rsidRPr="00D333A9">
        <w:rPr>
          <w:rFonts w:ascii="ArialMT" w:hAnsi="ArialMT" w:cs="ArialMT"/>
          <w:color w:val="auto"/>
          <w:sz w:val="22"/>
          <w:szCs w:val="22"/>
          <w:lang w:val="fr-BE"/>
        </w:rPr>
        <w:t xml:space="preserve">La Politique Scientifique a par ailleurs récemment publié un rapport </w:t>
      </w:r>
      <w:r w:rsidR="00CC468E" w:rsidRPr="00D333A9">
        <w:rPr>
          <w:rFonts w:ascii="ArialMT" w:hAnsi="ArialMT" w:cs="ArialMT"/>
          <w:color w:val="auto"/>
          <w:sz w:val="22"/>
          <w:szCs w:val="22"/>
          <w:lang w:val="fr-BE"/>
        </w:rPr>
        <w:t xml:space="preserve">sur la loi de 2009 concernant la vente et le service d’alcool aux jeunes (Van </w:t>
      </w:r>
      <w:proofErr w:type="spellStart"/>
      <w:r w:rsidR="00CC468E" w:rsidRPr="00D333A9">
        <w:rPr>
          <w:rFonts w:ascii="ArialMT" w:hAnsi="ArialMT" w:cs="ArialMT"/>
          <w:color w:val="auto"/>
          <w:sz w:val="22"/>
          <w:szCs w:val="22"/>
          <w:lang w:val="fr-BE"/>
        </w:rPr>
        <w:t>Havere</w:t>
      </w:r>
      <w:proofErr w:type="spellEnd"/>
      <w:r w:rsidR="00CC468E" w:rsidRPr="00D333A9">
        <w:rPr>
          <w:rFonts w:ascii="ArialMT" w:hAnsi="ArialMT" w:cs="ArialMT"/>
          <w:color w:val="auto"/>
          <w:sz w:val="22"/>
          <w:szCs w:val="22"/>
          <w:lang w:val="fr-BE"/>
        </w:rPr>
        <w:t xml:space="preserve"> et al., 2017),</w:t>
      </w:r>
      <w:r w:rsidRPr="00D333A9">
        <w:rPr>
          <w:rFonts w:ascii="ArialMT" w:hAnsi="ArialMT" w:cs="ArialMT"/>
          <w:color w:val="auto"/>
          <w:sz w:val="22"/>
          <w:szCs w:val="22"/>
          <w:lang w:val="fr-BE"/>
        </w:rPr>
        <w:t xml:space="preserve"> qui</w:t>
      </w:r>
      <w:r w:rsidR="00CC468E" w:rsidRPr="00D333A9">
        <w:rPr>
          <w:rFonts w:ascii="ArialMT" w:hAnsi="ArialMT" w:cs="ArialMT"/>
          <w:color w:val="auto"/>
          <w:sz w:val="22"/>
          <w:szCs w:val="22"/>
          <w:lang w:val="fr-BE"/>
        </w:rPr>
        <w:t xml:space="preserve"> indique aussi que « la nécessité de développer des politiques globales en matière d’alcool dans les pays européens n’est plus à prouver. Sur le plan sanitaire, celles-ci devraient se concentrer principalement sur le prix de l’alcool et les restrictions en matière de disponibilité et de marketing »</w:t>
      </w:r>
      <w:r w:rsidR="00D90878" w:rsidRPr="00D333A9">
        <w:rPr>
          <w:rFonts w:ascii="ArialMT" w:hAnsi="ArialMT" w:cs="ArialMT"/>
          <w:color w:val="auto"/>
          <w:sz w:val="22"/>
          <w:szCs w:val="22"/>
          <w:lang w:val="fr-BE"/>
        </w:rPr>
        <w:t>. Plutôt que de se focaliser sur le cadre légal, insuffisant face à la norme sociale de consommation, les auteurs de ce rapport insistent sur l’importance de l’éducation (notamment par les parents) et de la prévention. Ils mentionnent également les problèmes de la disponibilité de l’alcool et de l’absence de régulation de la publicité, qui permet de développer des stratégies adressées aux jeunes.</w:t>
      </w:r>
    </w:p>
    <w:p w:rsidR="00500749" w:rsidRPr="00D333A9" w:rsidRDefault="00500749" w:rsidP="00B07709">
      <w:pPr>
        <w:shd w:val="clear" w:color="auto" w:fill="FFFFFF"/>
        <w:rPr>
          <w:rFonts w:cs="Arial"/>
          <w:color w:val="000000"/>
          <w:lang w:val="fr-BE"/>
        </w:rPr>
      </w:pPr>
    </w:p>
    <w:p w:rsidR="00E966BC" w:rsidRPr="00D333A9" w:rsidRDefault="00F40D3F" w:rsidP="00E966BC">
      <w:pPr>
        <w:autoSpaceDE w:val="0"/>
        <w:autoSpaceDN w:val="0"/>
        <w:adjustRightInd w:val="0"/>
        <w:rPr>
          <w:rFonts w:cs="Arial"/>
          <w:lang w:val="fr-BE"/>
        </w:rPr>
      </w:pPr>
      <w:r w:rsidRPr="00D333A9">
        <w:rPr>
          <w:rFonts w:cs="Arial"/>
          <w:lang w:val="fr-BE"/>
        </w:rPr>
        <w:t>La</w:t>
      </w:r>
      <w:r w:rsidR="00C81E41" w:rsidRPr="00D333A9">
        <w:rPr>
          <w:rFonts w:cs="Arial"/>
          <w:lang w:val="fr-BE"/>
        </w:rPr>
        <w:t xml:space="preserve"> publicité</w:t>
      </w:r>
      <w:r w:rsidRPr="00D333A9">
        <w:rPr>
          <w:rFonts w:cs="Arial"/>
          <w:lang w:val="fr-BE"/>
        </w:rPr>
        <w:t>, qui</w:t>
      </w:r>
      <w:r w:rsidR="00C81E41" w:rsidRPr="00D333A9">
        <w:rPr>
          <w:rFonts w:cs="Arial"/>
          <w:lang w:val="fr-BE"/>
        </w:rPr>
        <w:t xml:space="preserve"> est act</w:t>
      </w:r>
      <w:r w:rsidRPr="00D333A9">
        <w:rPr>
          <w:rFonts w:cs="Arial"/>
          <w:lang w:val="fr-BE"/>
        </w:rPr>
        <w:t xml:space="preserve">uellement omniprésente, a notamment </w:t>
      </w:r>
      <w:r w:rsidR="00C81E41" w:rsidRPr="00D333A9">
        <w:rPr>
          <w:rFonts w:cs="Arial"/>
          <w:lang w:val="fr-BE"/>
        </w:rPr>
        <w:t xml:space="preserve">un impact considérable sur les consommateurs, plus particulièrement les jeunes. </w:t>
      </w:r>
      <w:r w:rsidR="00E966BC" w:rsidRPr="00D333A9">
        <w:rPr>
          <w:lang w:val="fr-BE"/>
        </w:rPr>
        <w:t xml:space="preserve">De très nombreux messages publicitaires confirment la consommation d'alcool comme norme sociale : convivialité, amusement, décompression, solidarité/amitié, etc. Même en présence </w:t>
      </w:r>
      <w:r w:rsidR="00235FBB" w:rsidRPr="004558A2">
        <w:rPr>
          <w:lang w:val="fr-BE"/>
        </w:rPr>
        <w:t>d’activités saines</w:t>
      </w:r>
      <w:r w:rsidR="00E966BC" w:rsidRPr="004558A2">
        <w:rPr>
          <w:lang w:val="fr-BE"/>
        </w:rPr>
        <w:t>,</w:t>
      </w:r>
      <w:r w:rsidR="00E966BC" w:rsidRPr="00D333A9">
        <w:rPr>
          <w:lang w:val="fr-BE"/>
        </w:rPr>
        <w:t xml:space="preserve"> tels que le sport, </w:t>
      </w:r>
      <w:r w:rsidR="00E63922" w:rsidRPr="00D333A9">
        <w:rPr>
          <w:lang w:val="fr-BE"/>
        </w:rPr>
        <w:t xml:space="preserve">il est impossible d’échapper à </w:t>
      </w:r>
      <w:r w:rsidR="00E966BC" w:rsidRPr="00D333A9">
        <w:rPr>
          <w:lang w:val="fr-BE"/>
        </w:rPr>
        <w:t xml:space="preserve">la publicité pour l'alcool. </w:t>
      </w:r>
    </w:p>
    <w:p w:rsidR="00E966BC" w:rsidRPr="00D333A9" w:rsidRDefault="00E966BC" w:rsidP="00B30EAE">
      <w:pPr>
        <w:rPr>
          <w:rFonts w:cs="Arial"/>
          <w:lang w:val="fr-BE"/>
        </w:rPr>
      </w:pPr>
    </w:p>
    <w:p w:rsidR="00B30EAE" w:rsidRPr="00D333A9" w:rsidRDefault="00B30EAE" w:rsidP="00B30EAE">
      <w:pPr>
        <w:rPr>
          <w:lang w:val="fr-BE"/>
        </w:rPr>
      </w:pPr>
      <w:r w:rsidRPr="00D333A9">
        <w:rPr>
          <w:lang w:val="fr-FR"/>
        </w:rPr>
        <w:t>Anderson et al. (2009), ont</w:t>
      </w:r>
      <w:r w:rsidR="00F40D3F" w:rsidRPr="00D333A9">
        <w:rPr>
          <w:lang w:val="fr-FR"/>
        </w:rPr>
        <w:t xml:space="preserve"> à ce sujet</w:t>
      </w:r>
      <w:r w:rsidRPr="00D333A9">
        <w:rPr>
          <w:lang w:val="fr-FR"/>
        </w:rPr>
        <w:t xml:space="preserve"> réalisé une revue de la litt</w:t>
      </w:r>
      <w:r w:rsidRPr="00D333A9">
        <w:rPr>
          <w:rFonts w:hint="eastAsia"/>
          <w:lang w:val="fr-FR"/>
        </w:rPr>
        <w:t>é</w:t>
      </w:r>
      <w:r w:rsidRPr="00D333A9">
        <w:rPr>
          <w:lang w:val="fr-FR"/>
        </w:rPr>
        <w:t xml:space="preserve">rature de 13 </w:t>
      </w:r>
      <w:r w:rsidRPr="00D333A9">
        <w:rPr>
          <w:rFonts w:hint="eastAsia"/>
          <w:lang w:val="fr-FR"/>
        </w:rPr>
        <w:t>é</w:t>
      </w:r>
      <w:r w:rsidRPr="00D333A9">
        <w:rPr>
          <w:lang w:val="fr-FR"/>
        </w:rPr>
        <w:t>tudes longitudinales men</w:t>
      </w:r>
      <w:r w:rsidRPr="00D333A9">
        <w:rPr>
          <w:rFonts w:hint="eastAsia"/>
          <w:lang w:val="fr-FR"/>
        </w:rPr>
        <w:t>é</w:t>
      </w:r>
      <w:r w:rsidRPr="00D333A9">
        <w:rPr>
          <w:lang w:val="fr-FR"/>
        </w:rPr>
        <w:t xml:space="preserve">es aux </w:t>
      </w:r>
      <w:r w:rsidRPr="00D333A9">
        <w:rPr>
          <w:rFonts w:hint="eastAsia"/>
          <w:lang w:val="fr-FR"/>
        </w:rPr>
        <w:t>É</w:t>
      </w:r>
      <w:r w:rsidRPr="00D333A9">
        <w:rPr>
          <w:lang w:val="fr-FR"/>
        </w:rPr>
        <w:t>tats-Unis, en Allemagne, en Nouvelle-Z</w:t>
      </w:r>
      <w:r w:rsidRPr="00D333A9">
        <w:rPr>
          <w:rFonts w:hint="eastAsia"/>
          <w:lang w:val="fr-FR"/>
        </w:rPr>
        <w:t>é</w:t>
      </w:r>
      <w:r w:rsidRPr="00D333A9">
        <w:rPr>
          <w:lang w:val="fr-FR"/>
        </w:rPr>
        <w:t xml:space="preserve">lande et en Belgique, </w:t>
      </w:r>
      <w:r w:rsidRPr="00D333A9">
        <w:rPr>
          <w:rFonts w:hint="eastAsia"/>
          <w:lang w:val="fr-FR"/>
        </w:rPr>
        <w:t>é</w:t>
      </w:r>
      <w:r w:rsidRPr="00D333A9">
        <w:rPr>
          <w:lang w:val="fr-FR"/>
        </w:rPr>
        <w:t xml:space="preserve">tudes </w:t>
      </w:r>
      <w:r w:rsidR="00D73A59">
        <w:rPr>
          <w:lang w:val="fr-FR"/>
        </w:rPr>
        <w:t>portant au total sur plus de 38.</w:t>
      </w:r>
      <w:r w:rsidRPr="00D333A9">
        <w:rPr>
          <w:lang w:val="fr-FR"/>
        </w:rPr>
        <w:t>000 jeunes. Cette synth</w:t>
      </w:r>
      <w:r w:rsidRPr="00D333A9">
        <w:rPr>
          <w:rFonts w:hint="eastAsia"/>
          <w:lang w:val="fr-FR"/>
        </w:rPr>
        <w:t>è</w:t>
      </w:r>
      <w:r w:rsidRPr="00D333A9">
        <w:rPr>
          <w:lang w:val="fr-FR"/>
        </w:rPr>
        <w:t xml:space="preserve">se </w:t>
      </w:r>
      <w:r w:rsidRPr="00D333A9">
        <w:rPr>
          <w:rFonts w:hint="eastAsia"/>
          <w:lang w:val="fr-FR"/>
        </w:rPr>
        <w:t>é</w:t>
      </w:r>
      <w:r w:rsidRPr="00D333A9">
        <w:rPr>
          <w:lang w:val="fr-FR"/>
        </w:rPr>
        <w:t>value l’association entre l’exposition à la publicit</w:t>
      </w:r>
      <w:r w:rsidRPr="00D333A9">
        <w:rPr>
          <w:rFonts w:hint="eastAsia"/>
          <w:lang w:val="fr-FR"/>
        </w:rPr>
        <w:t>é</w:t>
      </w:r>
      <w:r w:rsidRPr="00D333A9">
        <w:rPr>
          <w:lang w:val="fr-FR"/>
        </w:rPr>
        <w:t xml:space="preserve"> sur l’alcool dans les m</w:t>
      </w:r>
      <w:r w:rsidRPr="00D333A9">
        <w:rPr>
          <w:rFonts w:hint="eastAsia"/>
          <w:lang w:val="fr-FR"/>
        </w:rPr>
        <w:t>é</w:t>
      </w:r>
      <w:r w:rsidRPr="00D333A9">
        <w:rPr>
          <w:lang w:val="fr-FR"/>
        </w:rPr>
        <w:t>dias (t</w:t>
      </w:r>
      <w:r w:rsidRPr="00D333A9">
        <w:rPr>
          <w:rFonts w:hint="eastAsia"/>
          <w:lang w:val="fr-FR"/>
        </w:rPr>
        <w:t>é</w:t>
      </w:r>
      <w:r w:rsidRPr="00D333A9">
        <w:rPr>
          <w:lang w:val="fr-FR"/>
        </w:rPr>
        <w:t>l</w:t>
      </w:r>
      <w:r w:rsidRPr="00D333A9">
        <w:rPr>
          <w:rFonts w:hint="eastAsia"/>
          <w:lang w:val="fr-FR"/>
        </w:rPr>
        <w:t>é</w:t>
      </w:r>
      <w:r w:rsidRPr="00D333A9">
        <w:rPr>
          <w:lang w:val="fr-FR"/>
        </w:rPr>
        <w:t>vision, presse, affichages publicitaires, radio), la promotion d’alcool et les comportements d</w:t>
      </w:r>
      <w:r w:rsidRPr="00D333A9">
        <w:rPr>
          <w:rFonts w:hint="eastAsia"/>
          <w:lang w:val="fr-FR"/>
        </w:rPr>
        <w:t>é</w:t>
      </w:r>
      <w:r w:rsidRPr="00D333A9">
        <w:rPr>
          <w:lang w:val="fr-FR"/>
        </w:rPr>
        <w:t>clar</w:t>
      </w:r>
      <w:r w:rsidRPr="00D333A9">
        <w:rPr>
          <w:rFonts w:hint="eastAsia"/>
          <w:lang w:val="fr-FR"/>
        </w:rPr>
        <w:t>é</w:t>
      </w:r>
      <w:r w:rsidRPr="00D333A9">
        <w:rPr>
          <w:lang w:val="fr-FR"/>
        </w:rPr>
        <w:t xml:space="preserve">s d’alcoolisation chez les jeunes. Douze </w:t>
      </w:r>
      <w:r w:rsidRPr="00D333A9">
        <w:rPr>
          <w:rFonts w:hint="eastAsia"/>
          <w:lang w:val="fr-FR"/>
        </w:rPr>
        <w:t>é</w:t>
      </w:r>
      <w:r w:rsidRPr="00D333A9">
        <w:rPr>
          <w:lang w:val="fr-FR"/>
        </w:rPr>
        <w:t>tudes sur les 13 examin</w:t>
      </w:r>
      <w:r w:rsidRPr="00D333A9">
        <w:rPr>
          <w:rFonts w:hint="eastAsia"/>
          <w:lang w:val="fr-FR"/>
        </w:rPr>
        <w:t>é</w:t>
      </w:r>
      <w:r w:rsidRPr="00D333A9">
        <w:rPr>
          <w:lang w:val="fr-FR"/>
        </w:rPr>
        <w:t>es montrent d’une part un lien significatif entre l’exposition à la publicit</w:t>
      </w:r>
      <w:r w:rsidRPr="00D333A9">
        <w:rPr>
          <w:rFonts w:hint="eastAsia"/>
          <w:lang w:val="fr-FR"/>
        </w:rPr>
        <w:t>é</w:t>
      </w:r>
      <w:r w:rsidRPr="00D333A9">
        <w:rPr>
          <w:lang w:val="fr-FR"/>
        </w:rPr>
        <w:t xml:space="preserve"> et l’initiation de la consommation d’alcool chez les adolescents non buveurs, et d’autre part, une augmentation de la consommation chez les jeunes d</w:t>
      </w:r>
      <w:r w:rsidRPr="00D333A9">
        <w:rPr>
          <w:rFonts w:hint="eastAsia"/>
          <w:lang w:val="fr-FR"/>
        </w:rPr>
        <w:t>é</w:t>
      </w:r>
      <w:r w:rsidRPr="00D333A9">
        <w:rPr>
          <w:lang w:val="fr-FR"/>
        </w:rPr>
        <w:t>j</w:t>
      </w:r>
      <w:r w:rsidRPr="00D333A9">
        <w:rPr>
          <w:rFonts w:hint="eastAsia"/>
          <w:lang w:val="fr-FR"/>
        </w:rPr>
        <w:t>à̀</w:t>
      </w:r>
      <w:r w:rsidR="00E46CA9" w:rsidRPr="00D333A9">
        <w:rPr>
          <w:rFonts w:hint="eastAsia"/>
          <w:lang w:val="fr-FR"/>
        </w:rPr>
        <w:t xml:space="preserve"> </w:t>
      </w:r>
      <w:r w:rsidRPr="00D333A9">
        <w:rPr>
          <w:lang w:val="fr-FR"/>
        </w:rPr>
        <w:t xml:space="preserve">buveurs. Plus l’exposition publicitaire est importante et plus la consommation est </w:t>
      </w:r>
      <w:r w:rsidRPr="00D333A9">
        <w:rPr>
          <w:rFonts w:hint="eastAsia"/>
          <w:lang w:val="fr-FR"/>
        </w:rPr>
        <w:t>é</w:t>
      </w:r>
      <w:r w:rsidRPr="00D333A9">
        <w:rPr>
          <w:lang w:val="fr-FR"/>
        </w:rPr>
        <w:t>lev</w:t>
      </w:r>
      <w:r w:rsidRPr="00D333A9">
        <w:rPr>
          <w:rFonts w:hint="eastAsia"/>
          <w:lang w:val="fr-FR"/>
        </w:rPr>
        <w:t>é</w:t>
      </w:r>
      <w:r w:rsidRPr="00D333A9">
        <w:rPr>
          <w:lang w:val="fr-FR"/>
        </w:rPr>
        <w:t xml:space="preserve">e chez les buveurs. Citons </w:t>
      </w:r>
      <w:r w:rsidRPr="00D333A9">
        <w:rPr>
          <w:rFonts w:hint="eastAsia"/>
          <w:lang w:val="fr-FR"/>
        </w:rPr>
        <w:t>é</w:t>
      </w:r>
      <w:r w:rsidRPr="00D333A9">
        <w:rPr>
          <w:lang w:val="fr-FR"/>
        </w:rPr>
        <w:t>galement l’étude de McClure et al. (2013) men</w:t>
      </w:r>
      <w:r w:rsidRPr="00D333A9">
        <w:rPr>
          <w:rFonts w:hint="eastAsia"/>
          <w:lang w:val="fr-FR"/>
        </w:rPr>
        <w:t>é</w:t>
      </w:r>
      <w:r w:rsidRPr="00D333A9">
        <w:rPr>
          <w:lang w:val="fr-FR"/>
        </w:rPr>
        <w:t xml:space="preserve">e aux </w:t>
      </w:r>
      <w:r w:rsidRPr="00D333A9">
        <w:rPr>
          <w:rFonts w:hint="eastAsia"/>
          <w:lang w:val="fr-FR"/>
        </w:rPr>
        <w:t>É</w:t>
      </w:r>
      <w:r w:rsidRPr="00D333A9">
        <w:rPr>
          <w:lang w:val="fr-FR"/>
        </w:rPr>
        <w:t>tats-Unis aupr</w:t>
      </w:r>
      <w:r w:rsidRPr="00D333A9">
        <w:rPr>
          <w:rFonts w:hint="eastAsia"/>
          <w:lang w:val="fr-FR"/>
        </w:rPr>
        <w:t>è</w:t>
      </w:r>
      <w:r w:rsidR="00D73A59">
        <w:rPr>
          <w:lang w:val="fr-FR"/>
        </w:rPr>
        <w:t>s de 1.</w:t>
      </w:r>
      <w:r w:rsidRPr="00D333A9">
        <w:rPr>
          <w:lang w:val="fr-FR"/>
        </w:rPr>
        <w:t xml:space="preserve">734 jeunes </w:t>
      </w:r>
      <w:r w:rsidRPr="00D333A9">
        <w:rPr>
          <w:rFonts w:hint="eastAsia"/>
          <w:lang w:val="fr-FR"/>
        </w:rPr>
        <w:t>â</w:t>
      </w:r>
      <w:r w:rsidRPr="00D333A9">
        <w:rPr>
          <w:lang w:val="fr-FR"/>
        </w:rPr>
        <w:t>g</w:t>
      </w:r>
      <w:r w:rsidRPr="00D333A9">
        <w:rPr>
          <w:rFonts w:hint="eastAsia"/>
          <w:lang w:val="fr-FR"/>
        </w:rPr>
        <w:t>é</w:t>
      </w:r>
      <w:r w:rsidRPr="00D333A9">
        <w:rPr>
          <w:lang w:val="fr-FR"/>
        </w:rPr>
        <w:t>s de moins de 21 ans. Les r</w:t>
      </w:r>
      <w:r w:rsidRPr="00D333A9">
        <w:rPr>
          <w:rFonts w:hint="eastAsia"/>
          <w:lang w:val="fr-FR"/>
        </w:rPr>
        <w:t>é</w:t>
      </w:r>
      <w:r w:rsidRPr="00D333A9">
        <w:rPr>
          <w:lang w:val="fr-FR"/>
        </w:rPr>
        <w:t>sultats r</w:t>
      </w:r>
      <w:r w:rsidRPr="00D333A9">
        <w:rPr>
          <w:rFonts w:hint="eastAsia"/>
          <w:lang w:val="fr-FR"/>
        </w:rPr>
        <w:t>é</w:t>
      </w:r>
      <w:r w:rsidRPr="00D333A9">
        <w:rPr>
          <w:lang w:val="fr-FR"/>
        </w:rPr>
        <w:t>v</w:t>
      </w:r>
      <w:r w:rsidRPr="00D333A9">
        <w:rPr>
          <w:rFonts w:hint="eastAsia"/>
          <w:lang w:val="fr-FR"/>
        </w:rPr>
        <w:t>è</w:t>
      </w:r>
      <w:r w:rsidRPr="00D333A9">
        <w:rPr>
          <w:lang w:val="fr-FR"/>
        </w:rPr>
        <w:t xml:space="preserve">lent que le </w:t>
      </w:r>
      <w:r w:rsidRPr="00D333A9">
        <w:rPr>
          <w:rFonts w:hint="eastAsia"/>
          <w:lang w:val="fr-FR"/>
        </w:rPr>
        <w:t>«</w:t>
      </w:r>
      <w:r w:rsidRPr="00D333A9">
        <w:rPr>
          <w:lang w:val="fr-FR"/>
        </w:rPr>
        <w:t xml:space="preserve"> </w:t>
      </w:r>
      <w:proofErr w:type="spellStart"/>
      <w:r w:rsidRPr="00D333A9">
        <w:rPr>
          <w:i/>
          <w:iCs/>
          <w:lang w:val="fr-FR"/>
        </w:rPr>
        <w:t>binge</w:t>
      </w:r>
      <w:proofErr w:type="spellEnd"/>
      <w:r w:rsidRPr="00D333A9">
        <w:rPr>
          <w:i/>
          <w:iCs/>
          <w:lang w:val="fr-FR"/>
        </w:rPr>
        <w:t xml:space="preserve"> </w:t>
      </w:r>
      <w:proofErr w:type="spellStart"/>
      <w:r w:rsidRPr="00D333A9">
        <w:rPr>
          <w:i/>
          <w:iCs/>
          <w:lang w:val="fr-FR"/>
        </w:rPr>
        <w:t>drinking</w:t>
      </w:r>
      <w:proofErr w:type="spellEnd"/>
      <w:r w:rsidRPr="00D333A9">
        <w:rPr>
          <w:i/>
          <w:iCs/>
          <w:lang w:val="fr-FR"/>
        </w:rPr>
        <w:t xml:space="preserve"> </w:t>
      </w:r>
      <w:r w:rsidRPr="00D333A9">
        <w:rPr>
          <w:rFonts w:hint="eastAsia"/>
          <w:lang w:val="fr-FR"/>
        </w:rPr>
        <w:t>»</w:t>
      </w:r>
      <w:r w:rsidRPr="00D333A9">
        <w:rPr>
          <w:lang w:val="fr-FR"/>
        </w:rPr>
        <w:t xml:space="preserve"> est associé à des expositions r</w:t>
      </w:r>
      <w:r w:rsidRPr="00D333A9">
        <w:rPr>
          <w:rFonts w:hint="eastAsia"/>
          <w:lang w:val="fr-FR"/>
        </w:rPr>
        <w:t>é</w:t>
      </w:r>
      <w:r w:rsidRPr="00D333A9">
        <w:rPr>
          <w:lang w:val="fr-FR"/>
        </w:rPr>
        <w:t>guli</w:t>
      </w:r>
      <w:r w:rsidRPr="00D333A9">
        <w:rPr>
          <w:rFonts w:hint="eastAsia"/>
          <w:lang w:val="fr-FR"/>
        </w:rPr>
        <w:t>è</w:t>
      </w:r>
      <w:r w:rsidRPr="00D333A9">
        <w:rPr>
          <w:lang w:val="fr-FR"/>
        </w:rPr>
        <w:t>res à des publicit</w:t>
      </w:r>
      <w:r w:rsidRPr="00D333A9">
        <w:rPr>
          <w:rFonts w:hint="eastAsia"/>
          <w:lang w:val="fr-FR"/>
        </w:rPr>
        <w:t>é</w:t>
      </w:r>
      <w:r w:rsidRPr="00D333A9">
        <w:rPr>
          <w:lang w:val="fr-FR"/>
        </w:rPr>
        <w:t xml:space="preserve">s pour l’alcool : </w:t>
      </w:r>
      <w:r w:rsidR="00235FBB">
        <w:rPr>
          <w:lang w:val="fr-FR"/>
        </w:rPr>
        <w:t>présence</w:t>
      </w:r>
      <w:r w:rsidRPr="00D333A9">
        <w:rPr>
          <w:lang w:val="fr-FR"/>
        </w:rPr>
        <w:t xml:space="preserve"> dans les films, possession d</w:t>
      </w:r>
      <w:r w:rsidR="00F40D3F" w:rsidRPr="00D333A9">
        <w:rPr>
          <w:lang w:val="fr-FR"/>
        </w:rPr>
        <w:t>’</w:t>
      </w:r>
      <w:r w:rsidRPr="00D333A9">
        <w:rPr>
          <w:lang w:val="fr-FR"/>
        </w:rPr>
        <w:t>objets à l</w:t>
      </w:r>
      <w:r w:rsidR="00F40D3F" w:rsidRPr="00D333A9">
        <w:rPr>
          <w:lang w:val="fr-FR"/>
        </w:rPr>
        <w:t>’</w:t>
      </w:r>
      <w:r w:rsidRPr="00D333A9">
        <w:rPr>
          <w:lang w:val="fr-FR"/>
        </w:rPr>
        <w:t>effigie des marques d’</w:t>
      </w:r>
      <w:r w:rsidR="00F40D3F" w:rsidRPr="00D333A9">
        <w:rPr>
          <w:lang w:val="fr-FR"/>
        </w:rPr>
        <w:t>alcool etc.</w:t>
      </w:r>
      <w:r w:rsidRPr="00D333A9">
        <w:rPr>
          <w:lang w:val="fr-FR"/>
        </w:rPr>
        <w:t xml:space="preserve"> Ainsi, outre l</w:t>
      </w:r>
      <w:r w:rsidR="00F40D3F" w:rsidRPr="00D333A9">
        <w:rPr>
          <w:lang w:val="fr-FR"/>
        </w:rPr>
        <w:t>’</w:t>
      </w:r>
      <w:r w:rsidRPr="00D333A9">
        <w:rPr>
          <w:lang w:val="fr-FR"/>
        </w:rPr>
        <w:t>influence des pairs, des parents et de l’environnement, les auteurs concluent que l’exposition aux activit</w:t>
      </w:r>
      <w:r w:rsidRPr="00D333A9">
        <w:rPr>
          <w:rFonts w:hint="eastAsia"/>
          <w:lang w:val="fr-FR"/>
        </w:rPr>
        <w:t>é</w:t>
      </w:r>
      <w:r w:rsidRPr="00D333A9">
        <w:rPr>
          <w:lang w:val="fr-FR"/>
        </w:rPr>
        <w:t xml:space="preserve">s marketing des alcooliers influence aussi les comportements d’alcoolisation excessive. </w:t>
      </w:r>
    </w:p>
    <w:p w:rsidR="00C81E41" w:rsidRPr="00D333A9" w:rsidRDefault="00C81E41" w:rsidP="006D34FC">
      <w:pPr>
        <w:rPr>
          <w:lang w:val="fr-FR"/>
        </w:rPr>
      </w:pPr>
    </w:p>
    <w:p w:rsidR="002A1092" w:rsidRPr="00D333A9" w:rsidRDefault="007D2B5E" w:rsidP="00C36C71">
      <w:pPr>
        <w:pStyle w:val="Pa2"/>
        <w:spacing w:before="100" w:after="40"/>
        <w:jc w:val="both"/>
        <w:rPr>
          <w:rFonts w:ascii="Arial" w:hAnsi="Arial" w:cs="Arial"/>
          <w:sz w:val="22"/>
          <w:szCs w:val="22"/>
          <w:lang w:val="fr-BE"/>
        </w:rPr>
      </w:pPr>
      <w:r w:rsidRPr="00D333A9">
        <w:rPr>
          <w:rFonts w:ascii="Arial" w:hAnsi="Arial" w:cs="Arial"/>
          <w:sz w:val="22"/>
          <w:szCs w:val="22"/>
          <w:lang w:val="fr-BE"/>
        </w:rPr>
        <w:t>Par ailleurs, l</w:t>
      </w:r>
      <w:r w:rsidR="002A1092" w:rsidRPr="00D333A9">
        <w:rPr>
          <w:rFonts w:ascii="Arial" w:hAnsi="Arial" w:cs="Arial"/>
          <w:sz w:val="22"/>
          <w:szCs w:val="22"/>
          <w:lang w:val="fr-BE"/>
        </w:rPr>
        <w:t xml:space="preserve">’étiquetage des boissons alcoolisées </w:t>
      </w:r>
      <w:r w:rsidR="00C36C71" w:rsidRPr="00D333A9">
        <w:rPr>
          <w:rFonts w:ascii="Arial" w:hAnsi="Arial" w:cs="Arial"/>
          <w:sz w:val="22"/>
          <w:szCs w:val="22"/>
          <w:lang w:val="fr-BE"/>
        </w:rPr>
        <w:t xml:space="preserve">ne répond pas encore aux mêmes exigences que tout produit alimentaire, mises en place pour informer suffisamment le consommateur sur ce qu’il consomme. </w:t>
      </w:r>
      <w:r w:rsidR="00F40D3F" w:rsidRPr="00D333A9">
        <w:rPr>
          <w:rFonts w:ascii="Arial" w:hAnsi="Arial" w:cs="Arial"/>
          <w:sz w:val="22"/>
          <w:szCs w:val="22"/>
          <w:lang w:val="fr-BE"/>
        </w:rPr>
        <w:t>Les</w:t>
      </w:r>
      <w:r w:rsidR="00C36C71" w:rsidRPr="00D333A9">
        <w:rPr>
          <w:rFonts w:ascii="Arial" w:hAnsi="Arial" w:cs="Arial"/>
          <w:sz w:val="22"/>
          <w:szCs w:val="22"/>
          <w:lang w:val="fr-BE"/>
        </w:rPr>
        <w:t xml:space="preserve"> informations nutritionnelles devraient être indiquées sur tous les contenants d’alcool, auxquelles peut être ajouté le nombre d’unités standards d’alcool contenu. </w:t>
      </w:r>
    </w:p>
    <w:p w:rsidR="00C36C71" w:rsidRPr="00D333A9" w:rsidRDefault="00C36C71" w:rsidP="00C36C71">
      <w:pPr>
        <w:pStyle w:val="Default"/>
        <w:rPr>
          <w:lang w:val="fr-BE"/>
        </w:rPr>
      </w:pPr>
    </w:p>
    <w:p w:rsidR="00C36C71" w:rsidRDefault="00C36C71" w:rsidP="00C36C71">
      <w:pPr>
        <w:autoSpaceDE w:val="0"/>
        <w:autoSpaceDN w:val="0"/>
        <w:adjustRightInd w:val="0"/>
        <w:rPr>
          <w:rFonts w:cs="Arial"/>
          <w:lang w:val="fr-BE"/>
        </w:rPr>
      </w:pPr>
      <w:r w:rsidRPr="00D333A9">
        <w:rPr>
          <w:rFonts w:cs="Arial"/>
          <w:lang w:val="fr-BE"/>
        </w:rPr>
        <w:t>Enfin, des expériences menées en Irlande et en Ecosse montrent des effets positifs sur la consommation problématique d’un prix minimum fixé au détail pour l’alcool, qui serait plus efficace pour réduire la consommation problématique qu’une augmentation générale des taxes et accises, surtout chez les consommateurs avec le revenu le plus faible (impact si</w:t>
      </w:r>
      <w:r w:rsidR="006611F6" w:rsidRPr="00D333A9">
        <w:rPr>
          <w:rFonts w:cs="Arial"/>
          <w:lang w:val="fr-BE"/>
        </w:rPr>
        <w:t xml:space="preserve"> le</w:t>
      </w:r>
      <w:r w:rsidRPr="00D333A9">
        <w:rPr>
          <w:rFonts w:cs="Arial"/>
          <w:lang w:val="fr-BE"/>
        </w:rPr>
        <w:t xml:space="preserve"> prix minimum est de 0,5</w:t>
      </w:r>
      <w:r w:rsidR="00D73A59">
        <w:rPr>
          <w:rFonts w:cs="Arial"/>
          <w:lang w:val="fr-BE"/>
        </w:rPr>
        <w:t xml:space="preserve"> </w:t>
      </w:r>
      <w:r w:rsidRPr="00D333A9">
        <w:rPr>
          <w:rFonts w:cs="Arial"/>
          <w:lang w:val="fr-BE"/>
        </w:rPr>
        <w:t>€ à 0,6</w:t>
      </w:r>
      <w:r w:rsidR="00D73A59">
        <w:rPr>
          <w:rFonts w:cs="Arial"/>
          <w:lang w:val="fr-BE"/>
        </w:rPr>
        <w:t xml:space="preserve"> </w:t>
      </w:r>
      <w:r w:rsidRPr="00D333A9">
        <w:rPr>
          <w:rFonts w:cs="Arial"/>
          <w:lang w:val="fr-BE"/>
        </w:rPr>
        <w:t xml:space="preserve">€ par unité) (Holmes et al., 2014 ; Crawford et al., 2012 ; </w:t>
      </w:r>
      <w:proofErr w:type="spellStart"/>
      <w:r w:rsidRPr="00D333A9">
        <w:rPr>
          <w:rFonts w:cs="Arial"/>
          <w:lang w:val="fr-BE"/>
        </w:rPr>
        <w:t>Kmietowicz</w:t>
      </w:r>
      <w:proofErr w:type="spellEnd"/>
      <w:r w:rsidRPr="00D333A9">
        <w:rPr>
          <w:rFonts w:cs="Arial"/>
          <w:lang w:val="fr-BE"/>
        </w:rPr>
        <w:t xml:space="preserve">, 2010 ; </w:t>
      </w:r>
      <w:proofErr w:type="spellStart"/>
      <w:r w:rsidRPr="00D333A9">
        <w:rPr>
          <w:rFonts w:cs="Arial"/>
          <w:lang w:val="fr-BE"/>
        </w:rPr>
        <w:t>Chalmers</w:t>
      </w:r>
      <w:proofErr w:type="spellEnd"/>
      <w:r w:rsidRPr="00D333A9">
        <w:rPr>
          <w:rFonts w:cs="Arial"/>
          <w:lang w:val="fr-BE"/>
        </w:rPr>
        <w:t xml:space="preserve">, 2014 ; Meier et al., 2016 ; </w:t>
      </w:r>
      <w:proofErr w:type="spellStart"/>
      <w:r w:rsidRPr="00D333A9">
        <w:rPr>
          <w:rFonts w:cs="Arial"/>
          <w:lang w:val="fr-BE"/>
        </w:rPr>
        <w:t>Rice</w:t>
      </w:r>
      <w:proofErr w:type="spellEnd"/>
      <w:r w:rsidRPr="00D333A9">
        <w:rPr>
          <w:rFonts w:cs="Arial"/>
          <w:lang w:val="fr-BE"/>
        </w:rPr>
        <w:t xml:space="preserve"> &amp; </w:t>
      </w:r>
      <w:proofErr w:type="spellStart"/>
      <w:r w:rsidRPr="00D333A9">
        <w:rPr>
          <w:rFonts w:cs="Arial"/>
          <w:lang w:val="fr-BE"/>
        </w:rPr>
        <w:t>Drummont</w:t>
      </w:r>
      <w:proofErr w:type="spellEnd"/>
      <w:r w:rsidRPr="00D333A9">
        <w:rPr>
          <w:rFonts w:cs="Arial"/>
          <w:lang w:val="fr-BE"/>
        </w:rPr>
        <w:t>, 2012 ; Wise, 2014). On ne connait cependant pas l’impact de cette politique sur le marché noir ou le déplacement de la consommation vers d’autres psychotropes.</w:t>
      </w:r>
    </w:p>
    <w:p w:rsidR="00650425" w:rsidRDefault="00650425"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Default="009B295D" w:rsidP="00C36C71">
      <w:pPr>
        <w:autoSpaceDE w:val="0"/>
        <w:autoSpaceDN w:val="0"/>
        <w:adjustRightInd w:val="0"/>
        <w:rPr>
          <w:rFonts w:cs="Arial"/>
          <w:lang w:val="fr-BE"/>
        </w:rPr>
      </w:pPr>
    </w:p>
    <w:p w:rsidR="009B295D" w:rsidRPr="00D333A9" w:rsidRDefault="009B295D" w:rsidP="00C36C71">
      <w:pPr>
        <w:autoSpaceDE w:val="0"/>
        <w:autoSpaceDN w:val="0"/>
        <w:adjustRightInd w:val="0"/>
        <w:rPr>
          <w:rFonts w:cs="Arial"/>
          <w:lang w:val="fr-BE"/>
        </w:rPr>
      </w:pPr>
    </w:p>
    <w:p w:rsidR="00750DA6" w:rsidRPr="00D333A9" w:rsidRDefault="00750DA6" w:rsidP="00750DA6">
      <w:pPr>
        <w:rPr>
          <w:lang w:val="fr-BE"/>
        </w:rPr>
      </w:pPr>
    </w:p>
    <w:p w:rsidR="00241522" w:rsidRPr="00D333A9" w:rsidRDefault="005B1915" w:rsidP="00750DA6">
      <w:pPr>
        <w:pStyle w:val="Titre1"/>
      </w:pPr>
      <w:r w:rsidRPr="00D333A9">
        <w:t>REfE</w:t>
      </w:r>
      <w:r w:rsidR="00241522" w:rsidRPr="00D333A9">
        <w:t>rences</w:t>
      </w:r>
    </w:p>
    <w:p w:rsidR="00934E92" w:rsidRPr="00D333A9" w:rsidRDefault="00934E92" w:rsidP="00934E92">
      <w:pPr>
        <w:autoSpaceDE w:val="0"/>
        <w:autoSpaceDN w:val="0"/>
        <w:adjustRightInd w:val="0"/>
        <w:rPr>
          <w:rFonts w:cs="Arial"/>
          <w:sz w:val="24"/>
          <w:szCs w:val="24"/>
        </w:rPr>
      </w:pPr>
      <w:r w:rsidRPr="00D333A9">
        <w:rPr>
          <w:rFonts w:cs="Arial"/>
          <w:sz w:val="24"/>
          <w:szCs w:val="24"/>
        </w:rPr>
        <w:t>Abbey A. Alcohol's role in sexual violence perpetration: theoretical explanations, existing evidence and future directions. Drug Alcohol Rev 2011;30(5):481-9.</w:t>
      </w:r>
    </w:p>
    <w:p w:rsidR="00A85CA5" w:rsidRPr="00D333A9" w:rsidRDefault="00A85CA5" w:rsidP="00A85CA5">
      <w:pPr>
        <w:autoSpaceDE w:val="0"/>
        <w:autoSpaceDN w:val="0"/>
        <w:adjustRightInd w:val="0"/>
        <w:rPr>
          <w:rFonts w:cs="Arial"/>
          <w:sz w:val="24"/>
          <w:szCs w:val="24"/>
        </w:rPr>
      </w:pPr>
    </w:p>
    <w:p w:rsidR="00934E92" w:rsidRPr="00D333A9" w:rsidRDefault="00934E92" w:rsidP="00B77FA8">
      <w:pPr>
        <w:autoSpaceDE w:val="0"/>
        <w:autoSpaceDN w:val="0"/>
        <w:adjustRightInd w:val="0"/>
        <w:rPr>
          <w:rFonts w:cs="Arial"/>
          <w:sz w:val="24"/>
          <w:szCs w:val="24"/>
        </w:rPr>
      </w:pPr>
      <w:r w:rsidRPr="00D333A9">
        <w:rPr>
          <w:rFonts w:cs="Arial"/>
          <w:sz w:val="24"/>
          <w:szCs w:val="24"/>
        </w:rPr>
        <w:t xml:space="preserve">Anderson P, de </w:t>
      </w:r>
      <w:proofErr w:type="spellStart"/>
      <w:r w:rsidRPr="00D333A9">
        <w:rPr>
          <w:rFonts w:cs="Arial"/>
          <w:sz w:val="24"/>
          <w:szCs w:val="24"/>
        </w:rPr>
        <w:t>Bruijn</w:t>
      </w:r>
      <w:proofErr w:type="spellEnd"/>
      <w:r w:rsidRPr="00D333A9">
        <w:rPr>
          <w:rFonts w:cs="Arial"/>
          <w:sz w:val="24"/>
          <w:szCs w:val="24"/>
        </w:rPr>
        <w:t xml:space="preserve"> A, Angus K, Gordon R, Hastings G. Impact of alcohol advertising and media exposure on adolescent alcohol use: a systematic review of longitudinal studies. Alcohol </w:t>
      </w:r>
      <w:proofErr w:type="spellStart"/>
      <w:r w:rsidRPr="00D333A9">
        <w:rPr>
          <w:rFonts w:cs="Arial"/>
          <w:sz w:val="24"/>
          <w:szCs w:val="24"/>
        </w:rPr>
        <w:t>Alcohol</w:t>
      </w:r>
      <w:proofErr w:type="spellEnd"/>
      <w:r w:rsidRPr="00D333A9">
        <w:rPr>
          <w:rFonts w:cs="Arial"/>
          <w:sz w:val="24"/>
          <w:szCs w:val="24"/>
        </w:rPr>
        <w:t xml:space="preserve"> 2009;44(3):229-43.</w:t>
      </w:r>
    </w:p>
    <w:p w:rsidR="00934E92" w:rsidRPr="00D333A9" w:rsidRDefault="00934E92" w:rsidP="00B77FA8">
      <w:pPr>
        <w:autoSpaceDE w:val="0"/>
        <w:autoSpaceDN w:val="0"/>
        <w:adjustRightInd w:val="0"/>
        <w:rPr>
          <w:rFonts w:cs="Arial"/>
          <w:sz w:val="24"/>
          <w:szCs w:val="24"/>
        </w:rPr>
      </w:pPr>
    </w:p>
    <w:p w:rsidR="00934E92" w:rsidRPr="00D333A9" w:rsidRDefault="00934E92" w:rsidP="00A85CA5">
      <w:pPr>
        <w:autoSpaceDE w:val="0"/>
        <w:autoSpaceDN w:val="0"/>
        <w:adjustRightInd w:val="0"/>
        <w:rPr>
          <w:rFonts w:cs="Arial"/>
          <w:sz w:val="24"/>
          <w:szCs w:val="24"/>
        </w:rPr>
      </w:pPr>
      <w:r w:rsidRPr="00D333A9">
        <w:rPr>
          <w:rFonts w:cs="Arial"/>
          <w:sz w:val="24"/>
          <w:szCs w:val="24"/>
        </w:rPr>
        <w:t xml:space="preserve">Anderson P, Moller L, Galea G. Alcohol in the European Union. Consumption, harm and policy approaches. Copenhagen: WHO – Regional Office for Europe; 2017. Internet: </w:t>
      </w:r>
      <w:hyperlink r:id="rId17" w:history="1">
        <w:r w:rsidRPr="00D333A9">
          <w:t>http://www.euro.who.int/__data/assets/pdf_file/0003/160680/e96457.pdf</w:t>
        </w:r>
      </w:hyperlink>
    </w:p>
    <w:p w:rsidR="00A85CA5" w:rsidRPr="00D333A9" w:rsidRDefault="00A85CA5" w:rsidP="00A85CA5">
      <w:pPr>
        <w:autoSpaceDE w:val="0"/>
        <w:autoSpaceDN w:val="0"/>
        <w:adjustRightInd w:val="0"/>
        <w:rPr>
          <w:rFonts w:cs="Arial"/>
          <w:sz w:val="24"/>
          <w:szCs w:val="24"/>
        </w:rPr>
      </w:pPr>
    </w:p>
    <w:p w:rsidR="00934E92" w:rsidRPr="00D333A9" w:rsidRDefault="00934E92" w:rsidP="00B757A7">
      <w:pPr>
        <w:autoSpaceDE w:val="0"/>
        <w:autoSpaceDN w:val="0"/>
        <w:adjustRightInd w:val="0"/>
        <w:rPr>
          <w:rFonts w:cs="Arial"/>
          <w:sz w:val="24"/>
          <w:szCs w:val="24"/>
        </w:rPr>
      </w:pPr>
      <w:r w:rsidRPr="00D333A9">
        <w:rPr>
          <w:rFonts w:cs="Arial"/>
          <w:sz w:val="24"/>
          <w:szCs w:val="24"/>
          <w:lang w:val="fr-BE"/>
        </w:rPr>
        <w:t xml:space="preserve">Baan R, </w:t>
      </w:r>
      <w:proofErr w:type="spellStart"/>
      <w:r w:rsidRPr="00D333A9">
        <w:rPr>
          <w:rFonts w:cs="Arial"/>
          <w:sz w:val="24"/>
          <w:szCs w:val="24"/>
          <w:lang w:val="fr-BE"/>
        </w:rPr>
        <w:t>Straif</w:t>
      </w:r>
      <w:proofErr w:type="spellEnd"/>
      <w:r w:rsidRPr="00D333A9">
        <w:rPr>
          <w:rFonts w:cs="Arial"/>
          <w:sz w:val="24"/>
          <w:szCs w:val="24"/>
          <w:lang w:val="fr-BE"/>
        </w:rPr>
        <w:t xml:space="preserve"> K, Grosse Y, </w:t>
      </w:r>
      <w:proofErr w:type="spellStart"/>
      <w:r w:rsidRPr="00D333A9">
        <w:rPr>
          <w:rFonts w:cs="Arial"/>
          <w:sz w:val="24"/>
          <w:szCs w:val="24"/>
          <w:lang w:val="fr-BE"/>
        </w:rPr>
        <w:t>Secretan</w:t>
      </w:r>
      <w:proofErr w:type="spellEnd"/>
      <w:r w:rsidRPr="00D333A9">
        <w:rPr>
          <w:rFonts w:cs="Arial"/>
          <w:sz w:val="24"/>
          <w:szCs w:val="24"/>
          <w:lang w:val="fr-BE"/>
        </w:rPr>
        <w:t xml:space="preserve"> B, El </w:t>
      </w:r>
      <w:proofErr w:type="spellStart"/>
      <w:r w:rsidRPr="00D333A9">
        <w:rPr>
          <w:rFonts w:cs="Arial"/>
          <w:sz w:val="24"/>
          <w:szCs w:val="24"/>
          <w:lang w:val="fr-BE"/>
        </w:rPr>
        <w:t>Ghissassi</w:t>
      </w:r>
      <w:proofErr w:type="spellEnd"/>
      <w:r w:rsidRPr="00D333A9">
        <w:rPr>
          <w:rFonts w:cs="Arial"/>
          <w:sz w:val="24"/>
          <w:szCs w:val="24"/>
          <w:lang w:val="fr-BE"/>
        </w:rPr>
        <w:t xml:space="preserve"> F, Bouvard V, et al. </w:t>
      </w:r>
      <w:r w:rsidRPr="00D333A9">
        <w:rPr>
          <w:rFonts w:cs="Arial"/>
          <w:sz w:val="24"/>
          <w:szCs w:val="24"/>
        </w:rPr>
        <w:t>Carcinogenicity of alcoholic beverages. Lancet Oncol 2007;8(4):292-3.</w:t>
      </w:r>
    </w:p>
    <w:p w:rsidR="00934E92" w:rsidRPr="00D333A9" w:rsidRDefault="00934E92" w:rsidP="00B757A7">
      <w:pPr>
        <w:autoSpaceDE w:val="0"/>
        <w:autoSpaceDN w:val="0"/>
        <w:adjustRightInd w:val="0"/>
        <w:rPr>
          <w:rFonts w:cs="Arial"/>
          <w:sz w:val="24"/>
          <w:szCs w:val="24"/>
        </w:rPr>
      </w:pPr>
    </w:p>
    <w:p w:rsidR="00934E92" w:rsidRPr="00D333A9" w:rsidRDefault="00934E92" w:rsidP="00B757A7">
      <w:pPr>
        <w:autoSpaceDE w:val="0"/>
        <w:autoSpaceDN w:val="0"/>
        <w:adjustRightInd w:val="0"/>
        <w:rPr>
          <w:rFonts w:cs="Arial"/>
          <w:sz w:val="24"/>
          <w:szCs w:val="24"/>
        </w:rPr>
      </w:pPr>
      <w:proofErr w:type="spellStart"/>
      <w:r w:rsidRPr="00D333A9">
        <w:rPr>
          <w:rFonts w:cs="Arial"/>
          <w:sz w:val="24"/>
          <w:szCs w:val="24"/>
        </w:rPr>
        <w:t>Bagnardi</w:t>
      </w:r>
      <w:proofErr w:type="spellEnd"/>
      <w:r w:rsidRPr="00D333A9">
        <w:rPr>
          <w:rFonts w:cs="Arial"/>
          <w:sz w:val="24"/>
          <w:szCs w:val="24"/>
        </w:rPr>
        <w:t xml:space="preserve"> V, Rota M, </w:t>
      </w:r>
      <w:proofErr w:type="spellStart"/>
      <w:r w:rsidRPr="00D333A9">
        <w:rPr>
          <w:rFonts w:cs="Arial"/>
          <w:sz w:val="24"/>
          <w:szCs w:val="24"/>
        </w:rPr>
        <w:t>Botteri</w:t>
      </w:r>
      <w:proofErr w:type="spellEnd"/>
      <w:r w:rsidRPr="00D333A9">
        <w:rPr>
          <w:rFonts w:cs="Arial"/>
          <w:sz w:val="24"/>
          <w:szCs w:val="24"/>
        </w:rPr>
        <w:t xml:space="preserve"> E, </w:t>
      </w:r>
      <w:proofErr w:type="spellStart"/>
      <w:r w:rsidRPr="00D333A9">
        <w:rPr>
          <w:rFonts w:cs="Arial"/>
          <w:sz w:val="24"/>
          <w:szCs w:val="24"/>
        </w:rPr>
        <w:t>Tramacere</w:t>
      </w:r>
      <w:proofErr w:type="spellEnd"/>
      <w:r w:rsidRPr="00D333A9">
        <w:rPr>
          <w:rFonts w:cs="Arial"/>
          <w:sz w:val="24"/>
          <w:szCs w:val="24"/>
        </w:rPr>
        <w:t xml:space="preserve"> I, </w:t>
      </w:r>
      <w:proofErr w:type="spellStart"/>
      <w:r w:rsidRPr="00D333A9">
        <w:rPr>
          <w:rFonts w:cs="Arial"/>
          <w:sz w:val="24"/>
          <w:szCs w:val="24"/>
        </w:rPr>
        <w:t>Islami</w:t>
      </w:r>
      <w:proofErr w:type="spellEnd"/>
      <w:r w:rsidRPr="00D333A9">
        <w:rPr>
          <w:rFonts w:cs="Arial"/>
          <w:sz w:val="24"/>
          <w:szCs w:val="24"/>
        </w:rPr>
        <w:t xml:space="preserve"> F, </w:t>
      </w:r>
      <w:proofErr w:type="spellStart"/>
      <w:r w:rsidRPr="00D333A9">
        <w:rPr>
          <w:rFonts w:cs="Arial"/>
          <w:sz w:val="24"/>
          <w:szCs w:val="24"/>
        </w:rPr>
        <w:t>Fedirko</w:t>
      </w:r>
      <w:proofErr w:type="spellEnd"/>
      <w:r w:rsidRPr="00D333A9">
        <w:rPr>
          <w:rFonts w:cs="Arial"/>
          <w:sz w:val="24"/>
          <w:szCs w:val="24"/>
        </w:rPr>
        <w:t xml:space="preserve"> V, et al. Alcohol consumption and site-specific cancer risk: a comprehensive dose-response meta-analysis. Br J Cancer 2015;112(3):580-93.</w:t>
      </w:r>
    </w:p>
    <w:p w:rsidR="00934E92" w:rsidRPr="00D333A9" w:rsidRDefault="00934E92" w:rsidP="00B757A7">
      <w:pPr>
        <w:autoSpaceDE w:val="0"/>
        <w:autoSpaceDN w:val="0"/>
        <w:adjustRightInd w:val="0"/>
        <w:rPr>
          <w:rFonts w:cs="Arial"/>
          <w:sz w:val="24"/>
          <w:szCs w:val="24"/>
        </w:rPr>
      </w:pPr>
    </w:p>
    <w:p w:rsidR="00934E92" w:rsidRPr="00D333A9" w:rsidRDefault="00934E92" w:rsidP="00B757A7">
      <w:pPr>
        <w:autoSpaceDE w:val="0"/>
        <w:autoSpaceDN w:val="0"/>
        <w:adjustRightInd w:val="0"/>
        <w:rPr>
          <w:rFonts w:cs="Arial"/>
          <w:sz w:val="24"/>
          <w:szCs w:val="24"/>
        </w:rPr>
      </w:pPr>
      <w:proofErr w:type="spellStart"/>
      <w:r w:rsidRPr="00D333A9">
        <w:rPr>
          <w:rFonts w:cs="Arial"/>
          <w:sz w:val="24"/>
          <w:szCs w:val="24"/>
        </w:rPr>
        <w:t>Baliunas</w:t>
      </w:r>
      <w:proofErr w:type="spellEnd"/>
      <w:r w:rsidRPr="00D333A9">
        <w:rPr>
          <w:rFonts w:cs="Arial"/>
          <w:sz w:val="24"/>
          <w:szCs w:val="24"/>
        </w:rPr>
        <w:t xml:space="preserve"> DO, Taylor BJ, Irving H, </w:t>
      </w:r>
      <w:proofErr w:type="spellStart"/>
      <w:r w:rsidRPr="00D333A9">
        <w:rPr>
          <w:rFonts w:cs="Arial"/>
          <w:sz w:val="24"/>
          <w:szCs w:val="24"/>
        </w:rPr>
        <w:t>Roerecke</w:t>
      </w:r>
      <w:proofErr w:type="spellEnd"/>
      <w:r w:rsidRPr="00D333A9">
        <w:rPr>
          <w:rFonts w:cs="Arial"/>
          <w:sz w:val="24"/>
          <w:szCs w:val="24"/>
        </w:rPr>
        <w:t xml:space="preserve"> M, Patra J, Mohapatra S, et al. Alcohol as a risk factor for type 2 diabetes: A systematic review and meta-analysis. Diabetes Care 2009;32(11):2123-32.</w:t>
      </w:r>
    </w:p>
    <w:p w:rsidR="00934E92" w:rsidRPr="00D333A9" w:rsidRDefault="00934E92" w:rsidP="00B757A7">
      <w:pPr>
        <w:autoSpaceDE w:val="0"/>
        <w:autoSpaceDN w:val="0"/>
        <w:adjustRightInd w:val="0"/>
        <w:rPr>
          <w:rFonts w:cs="Arial"/>
          <w:sz w:val="24"/>
          <w:szCs w:val="24"/>
        </w:rPr>
      </w:pPr>
    </w:p>
    <w:p w:rsidR="00934E92" w:rsidRPr="00D333A9" w:rsidRDefault="00934E92" w:rsidP="00934E92">
      <w:pPr>
        <w:autoSpaceDE w:val="0"/>
        <w:autoSpaceDN w:val="0"/>
        <w:adjustRightInd w:val="0"/>
        <w:rPr>
          <w:rFonts w:cs="Arial"/>
          <w:sz w:val="24"/>
          <w:szCs w:val="24"/>
          <w:lang w:val="fr-BE"/>
        </w:rPr>
      </w:pPr>
      <w:r w:rsidRPr="00D333A9">
        <w:rPr>
          <w:rFonts w:cs="Arial"/>
          <w:sz w:val="24"/>
          <w:szCs w:val="24"/>
        </w:rPr>
        <w:t xml:space="preserve">Beck A, Heinz A. Alcohol-related aggression-social and neurobiological factors. </w:t>
      </w:r>
      <w:proofErr w:type="spellStart"/>
      <w:r w:rsidRPr="00D333A9">
        <w:rPr>
          <w:rFonts w:cs="Arial"/>
          <w:sz w:val="24"/>
          <w:szCs w:val="24"/>
          <w:lang w:val="fr-BE"/>
        </w:rPr>
        <w:t>Dtsch</w:t>
      </w:r>
      <w:proofErr w:type="spellEnd"/>
      <w:r w:rsidRPr="00D333A9">
        <w:rPr>
          <w:rFonts w:cs="Arial"/>
          <w:sz w:val="24"/>
          <w:szCs w:val="24"/>
          <w:lang w:val="fr-BE"/>
        </w:rPr>
        <w:t xml:space="preserve"> </w:t>
      </w:r>
      <w:proofErr w:type="spellStart"/>
      <w:r w:rsidRPr="00D333A9">
        <w:rPr>
          <w:rFonts w:cs="Arial"/>
          <w:sz w:val="24"/>
          <w:szCs w:val="24"/>
          <w:lang w:val="fr-BE"/>
        </w:rPr>
        <w:t>Arztebl</w:t>
      </w:r>
      <w:proofErr w:type="spellEnd"/>
      <w:r w:rsidRPr="00D333A9">
        <w:rPr>
          <w:rFonts w:cs="Arial"/>
          <w:sz w:val="24"/>
          <w:szCs w:val="24"/>
          <w:lang w:val="fr-BE"/>
        </w:rPr>
        <w:t xml:space="preserve"> Int 2013;110(42):711-5.</w:t>
      </w:r>
    </w:p>
    <w:p w:rsidR="00934E92" w:rsidRPr="00D333A9" w:rsidRDefault="00934E92" w:rsidP="00B757A7">
      <w:pPr>
        <w:autoSpaceDE w:val="0"/>
        <w:autoSpaceDN w:val="0"/>
        <w:adjustRightInd w:val="0"/>
        <w:rPr>
          <w:rFonts w:cs="Arial"/>
          <w:sz w:val="24"/>
          <w:szCs w:val="24"/>
          <w:lang w:val="fr-BE"/>
        </w:rPr>
      </w:pPr>
    </w:p>
    <w:p w:rsidR="00934E92" w:rsidRPr="00D333A9" w:rsidRDefault="00934E92" w:rsidP="00B757A7">
      <w:pPr>
        <w:autoSpaceDE w:val="0"/>
        <w:autoSpaceDN w:val="0"/>
        <w:adjustRightInd w:val="0"/>
        <w:rPr>
          <w:rFonts w:cs="Arial"/>
          <w:sz w:val="24"/>
          <w:szCs w:val="24"/>
        </w:rPr>
      </w:pPr>
      <w:r w:rsidRPr="00D333A9">
        <w:rPr>
          <w:rFonts w:cs="Arial"/>
          <w:sz w:val="24"/>
          <w:szCs w:val="24"/>
          <w:lang w:val="fr-BE"/>
        </w:rPr>
        <w:t xml:space="preserve">Campanella S, </w:t>
      </w:r>
      <w:proofErr w:type="spellStart"/>
      <w:r w:rsidRPr="00D333A9">
        <w:rPr>
          <w:rFonts w:cs="Arial"/>
          <w:sz w:val="24"/>
          <w:szCs w:val="24"/>
          <w:lang w:val="fr-BE"/>
        </w:rPr>
        <w:t>Peigneux</w:t>
      </w:r>
      <w:proofErr w:type="spellEnd"/>
      <w:r w:rsidRPr="00D333A9">
        <w:rPr>
          <w:rFonts w:cs="Arial"/>
          <w:sz w:val="24"/>
          <w:szCs w:val="24"/>
          <w:lang w:val="fr-BE"/>
        </w:rPr>
        <w:t xml:space="preserve"> P, Petit G, Lallemand F, </w:t>
      </w:r>
      <w:proofErr w:type="spellStart"/>
      <w:r w:rsidRPr="00D333A9">
        <w:rPr>
          <w:rFonts w:cs="Arial"/>
          <w:sz w:val="24"/>
          <w:szCs w:val="24"/>
          <w:lang w:val="fr-BE"/>
        </w:rPr>
        <w:t>Saeremans</w:t>
      </w:r>
      <w:proofErr w:type="spellEnd"/>
      <w:r w:rsidRPr="00D333A9">
        <w:rPr>
          <w:rFonts w:cs="Arial"/>
          <w:sz w:val="24"/>
          <w:szCs w:val="24"/>
          <w:lang w:val="fr-BE"/>
        </w:rPr>
        <w:t xml:space="preserve"> M, Noel X, et al. </w:t>
      </w:r>
      <w:r w:rsidRPr="00D333A9">
        <w:rPr>
          <w:rFonts w:cs="Arial"/>
          <w:sz w:val="24"/>
          <w:szCs w:val="24"/>
        </w:rPr>
        <w:t xml:space="preserve">Increased cortical activity in binge drinkers during working memory task: a preliminary assessment through a functional magnetic resonance imaging study. </w:t>
      </w:r>
      <w:proofErr w:type="spellStart"/>
      <w:r w:rsidRPr="00D333A9">
        <w:rPr>
          <w:rFonts w:cs="Arial"/>
          <w:sz w:val="24"/>
          <w:szCs w:val="24"/>
        </w:rPr>
        <w:t>PLoS</w:t>
      </w:r>
      <w:proofErr w:type="spellEnd"/>
      <w:r w:rsidRPr="00D333A9">
        <w:rPr>
          <w:rFonts w:cs="Arial"/>
          <w:sz w:val="24"/>
          <w:szCs w:val="24"/>
        </w:rPr>
        <w:t xml:space="preserve"> One 2013;8(4</w:t>
      </w:r>
      <w:proofErr w:type="gramStart"/>
      <w:r w:rsidRPr="00D333A9">
        <w:rPr>
          <w:rFonts w:cs="Arial"/>
          <w:sz w:val="24"/>
          <w:szCs w:val="24"/>
        </w:rPr>
        <w:t>):e</w:t>
      </w:r>
      <w:proofErr w:type="gramEnd"/>
      <w:r w:rsidRPr="00D333A9">
        <w:rPr>
          <w:rFonts w:cs="Arial"/>
          <w:sz w:val="24"/>
          <w:szCs w:val="24"/>
        </w:rPr>
        <w:t>62260.</w:t>
      </w:r>
    </w:p>
    <w:p w:rsidR="00934E92" w:rsidRPr="00D333A9" w:rsidRDefault="00934E92" w:rsidP="00B757A7">
      <w:pPr>
        <w:autoSpaceDE w:val="0"/>
        <w:autoSpaceDN w:val="0"/>
        <w:adjustRightInd w:val="0"/>
        <w:rPr>
          <w:rFonts w:cs="Arial"/>
          <w:sz w:val="24"/>
          <w:szCs w:val="24"/>
        </w:rPr>
      </w:pPr>
    </w:p>
    <w:p w:rsidR="00934E92" w:rsidRPr="00D333A9" w:rsidRDefault="00934E92" w:rsidP="00B757A7">
      <w:pPr>
        <w:autoSpaceDE w:val="0"/>
        <w:autoSpaceDN w:val="0"/>
        <w:adjustRightInd w:val="0"/>
        <w:rPr>
          <w:rFonts w:cs="Arial"/>
          <w:sz w:val="24"/>
          <w:szCs w:val="24"/>
        </w:rPr>
      </w:pPr>
      <w:r w:rsidRPr="00D333A9">
        <w:rPr>
          <w:rFonts w:cs="Arial"/>
          <w:sz w:val="24"/>
          <w:szCs w:val="24"/>
        </w:rPr>
        <w:t>Chalmers J. Alcohol minimum unit pricing and socioeconomic status. Lancet 2014;383(9929):1616-7.</w:t>
      </w:r>
    </w:p>
    <w:p w:rsidR="00BF43A5" w:rsidRPr="00D333A9" w:rsidRDefault="00BF43A5" w:rsidP="00B757A7">
      <w:pPr>
        <w:autoSpaceDE w:val="0"/>
        <w:autoSpaceDN w:val="0"/>
        <w:adjustRightInd w:val="0"/>
        <w:rPr>
          <w:rFonts w:cs="Arial"/>
          <w:sz w:val="24"/>
          <w:szCs w:val="24"/>
        </w:rPr>
      </w:pPr>
    </w:p>
    <w:p w:rsidR="00934E92" w:rsidRPr="00D333A9" w:rsidRDefault="00934E92" w:rsidP="00934E92">
      <w:pPr>
        <w:autoSpaceDE w:val="0"/>
        <w:autoSpaceDN w:val="0"/>
        <w:adjustRightInd w:val="0"/>
        <w:rPr>
          <w:rFonts w:cs="Arial"/>
          <w:sz w:val="24"/>
          <w:szCs w:val="24"/>
        </w:rPr>
      </w:pPr>
      <w:proofErr w:type="spellStart"/>
      <w:r w:rsidRPr="00D333A9">
        <w:rPr>
          <w:rFonts w:cs="Arial"/>
          <w:sz w:val="24"/>
          <w:szCs w:val="24"/>
        </w:rPr>
        <w:t>Cherpitel</w:t>
      </w:r>
      <w:proofErr w:type="spellEnd"/>
      <w:r w:rsidRPr="00D333A9">
        <w:rPr>
          <w:rFonts w:cs="Arial"/>
          <w:sz w:val="24"/>
          <w:szCs w:val="24"/>
        </w:rPr>
        <w:t xml:space="preserve"> CJ, Ye Y, Bond J, Room R, Borges G. Attribution of alcohol to violence-related injury: self and other's drinking in the event. J Stud Alcohol Drugs 2012;73(2):277-84.</w:t>
      </w:r>
    </w:p>
    <w:p w:rsidR="00934E92" w:rsidRPr="00D333A9" w:rsidRDefault="00934E92" w:rsidP="00B757A7">
      <w:pPr>
        <w:autoSpaceDE w:val="0"/>
        <w:autoSpaceDN w:val="0"/>
        <w:adjustRightInd w:val="0"/>
        <w:rPr>
          <w:rFonts w:cs="Arial"/>
          <w:sz w:val="24"/>
          <w:szCs w:val="24"/>
        </w:rPr>
      </w:pPr>
    </w:p>
    <w:p w:rsidR="00934E92" w:rsidRPr="00D333A9" w:rsidRDefault="00934E92" w:rsidP="00B757A7">
      <w:pPr>
        <w:autoSpaceDE w:val="0"/>
        <w:autoSpaceDN w:val="0"/>
        <w:adjustRightInd w:val="0"/>
        <w:rPr>
          <w:rFonts w:cs="Arial"/>
          <w:sz w:val="24"/>
          <w:szCs w:val="24"/>
          <w:lang w:val="fr-BE"/>
        </w:rPr>
      </w:pPr>
      <w:r w:rsidRPr="00D333A9">
        <w:rPr>
          <w:rFonts w:cs="Arial"/>
          <w:sz w:val="24"/>
          <w:szCs w:val="24"/>
        </w:rPr>
        <w:t xml:space="preserve">Crawford MJ, Parry AM, Weston AR, </w:t>
      </w:r>
      <w:proofErr w:type="spellStart"/>
      <w:r w:rsidRPr="00D333A9">
        <w:rPr>
          <w:rFonts w:cs="Arial"/>
          <w:sz w:val="24"/>
          <w:szCs w:val="24"/>
        </w:rPr>
        <w:t>Seretis</w:t>
      </w:r>
      <w:proofErr w:type="spellEnd"/>
      <w:r w:rsidRPr="00D333A9">
        <w:rPr>
          <w:rFonts w:cs="Arial"/>
          <w:sz w:val="24"/>
          <w:szCs w:val="24"/>
        </w:rPr>
        <w:t xml:space="preserve"> D, </w:t>
      </w:r>
      <w:proofErr w:type="spellStart"/>
      <w:r w:rsidRPr="00D333A9">
        <w:rPr>
          <w:rFonts w:cs="Arial"/>
          <w:sz w:val="24"/>
          <w:szCs w:val="24"/>
        </w:rPr>
        <w:t>Zauter</w:t>
      </w:r>
      <w:proofErr w:type="spellEnd"/>
      <w:r w:rsidRPr="00D333A9">
        <w:rPr>
          <w:rFonts w:cs="Arial"/>
          <w:sz w:val="24"/>
          <w:szCs w:val="24"/>
        </w:rPr>
        <w:t xml:space="preserve">-Tutt M, Hussain A, et al. Relationship between price paid for off-trade alcohol, alcohol consumption and income in England: a cross-sectional survey. </w:t>
      </w:r>
      <w:proofErr w:type="spellStart"/>
      <w:r w:rsidRPr="00D333A9">
        <w:rPr>
          <w:rFonts w:cs="Arial"/>
          <w:sz w:val="24"/>
          <w:szCs w:val="24"/>
          <w:lang w:val="fr-BE"/>
        </w:rPr>
        <w:t>Alcohol</w:t>
      </w:r>
      <w:proofErr w:type="spellEnd"/>
      <w:r w:rsidRPr="00D333A9">
        <w:rPr>
          <w:rFonts w:cs="Arial"/>
          <w:sz w:val="24"/>
          <w:szCs w:val="24"/>
          <w:lang w:val="fr-BE"/>
        </w:rPr>
        <w:t xml:space="preserve"> </w:t>
      </w:r>
      <w:proofErr w:type="spellStart"/>
      <w:r w:rsidRPr="00D333A9">
        <w:rPr>
          <w:rFonts w:cs="Arial"/>
          <w:sz w:val="24"/>
          <w:szCs w:val="24"/>
          <w:lang w:val="fr-BE"/>
        </w:rPr>
        <w:t>Alcohol</w:t>
      </w:r>
      <w:proofErr w:type="spellEnd"/>
      <w:r w:rsidRPr="00D333A9">
        <w:rPr>
          <w:rFonts w:cs="Arial"/>
          <w:sz w:val="24"/>
          <w:szCs w:val="24"/>
          <w:lang w:val="fr-BE"/>
        </w:rPr>
        <w:t xml:space="preserve"> 2012;47(6):738-42.</w:t>
      </w:r>
    </w:p>
    <w:p w:rsidR="00934E92" w:rsidRPr="00D333A9" w:rsidRDefault="00934E92" w:rsidP="00A85CA5">
      <w:pPr>
        <w:autoSpaceDE w:val="0"/>
        <w:autoSpaceDN w:val="0"/>
        <w:adjustRightInd w:val="0"/>
        <w:rPr>
          <w:rFonts w:cs="Arial"/>
          <w:sz w:val="24"/>
          <w:szCs w:val="24"/>
          <w:lang w:val="fr-BE"/>
        </w:rPr>
      </w:pPr>
    </w:p>
    <w:p w:rsidR="00934E92" w:rsidRPr="00D333A9" w:rsidRDefault="00934E92" w:rsidP="00A85CA5">
      <w:pPr>
        <w:autoSpaceDE w:val="0"/>
        <w:autoSpaceDN w:val="0"/>
        <w:adjustRightInd w:val="0"/>
        <w:rPr>
          <w:rFonts w:cs="Arial"/>
          <w:sz w:val="24"/>
          <w:szCs w:val="24"/>
          <w:lang w:val="fr-BE"/>
        </w:rPr>
      </w:pPr>
      <w:r w:rsidRPr="00D333A9">
        <w:rPr>
          <w:rFonts w:cs="Arial"/>
          <w:sz w:val="24"/>
          <w:szCs w:val="24"/>
          <w:lang w:val="fr-BE"/>
        </w:rPr>
        <w:t>CSS – Conseil Supérieur de la Santé.  Les risques de la consommation d’alcool avant et pendant la grossesse et durant l’allaitement. Bruxelles: CSS; 2009. Avis 8462.</w:t>
      </w:r>
    </w:p>
    <w:p w:rsidR="00934E92" w:rsidRPr="00D333A9" w:rsidRDefault="00934E92" w:rsidP="00A85CA5">
      <w:pPr>
        <w:autoSpaceDE w:val="0"/>
        <w:autoSpaceDN w:val="0"/>
        <w:adjustRightInd w:val="0"/>
        <w:rPr>
          <w:rFonts w:cs="Arial"/>
          <w:sz w:val="24"/>
          <w:szCs w:val="24"/>
          <w:lang w:val="fr-BE"/>
        </w:rPr>
      </w:pPr>
    </w:p>
    <w:p w:rsidR="00934E92" w:rsidRPr="00D333A9" w:rsidRDefault="00934E92" w:rsidP="00A85CA5">
      <w:pPr>
        <w:autoSpaceDE w:val="0"/>
        <w:autoSpaceDN w:val="0"/>
        <w:adjustRightInd w:val="0"/>
        <w:rPr>
          <w:rFonts w:cs="Arial"/>
          <w:sz w:val="24"/>
          <w:szCs w:val="24"/>
          <w:lang w:val="fr-BE"/>
        </w:rPr>
      </w:pPr>
      <w:r w:rsidRPr="00D333A9">
        <w:rPr>
          <w:rFonts w:cs="Arial"/>
          <w:sz w:val="24"/>
          <w:szCs w:val="24"/>
          <w:lang w:val="fr-BE"/>
        </w:rPr>
        <w:t>CSS – Conseil Supérieur de la Santé. Les jeunes et l’alcool. Bruxelles: CSS; 2006. Avis n° 8109.</w:t>
      </w:r>
    </w:p>
    <w:p w:rsidR="00934E92" w:rsidRPr="00D333A9" w:rsidRDefault="00934E92" w:rsidP="00A85CA5">
      <w:pPr>
        <w:autoSpaceDE w:val="0"/>
        <w:autoSpaceDN w:val="0"/>
        <w:adjustRightInd w:val="0"/>
        <w:rPr>
          <w:rFonts w:cs="Arial"/>
          <w:sz w:val="24"/>
          <w:szCs w:val="24"/>
          <w:lang w:val="fr-BE"/>
        </w:rPr>
      </w:pPr>
    </w:p>
    <w:p w:rsidR="00934E92" w:rsidRPr="00D333A9" w:rsidRDefault="00934E92" w:rsidP="00A85CA5">
      <w:pPr>
        <w:autoSpaceDE w:val="0"/>
        <w:autoSpaceDN w:val="0"/>
        <w:adjustRightInd w:val="0"/>
        <w:rPr>
          <w:rFonts w:cs="Arial"/>
          <w:sz w:val="24"/>
          <w:szCs w:val="24"/>
          <w:lang w:val="fr-BE"/>
        </w:rPr>
      </w:pPr>
      <w:r w:rsidRPr="00D333A9">
        <w:rPr>
          <w:rFonts w:cs="Arial"/>
          <w:sz w:val="24"/>
          <w:szCs w:val="24"/>
          <w:lang w:val="fr-BE"/>
        </w:rPr>
        <w:t xml:space="preserve">CSS – Conseil Supérieur de la Santé. Recommandations nutritionnelles pour la Belgique – 2016.Bruxelles: CSS;  2016. Avis 9285.                         </w:t>
      </w:r>
    </w:p>
    <w:p w:rsidR="00934E92" w:rsidRPr="00D333A9" w:rsidRDefault="00934E92" w:rsidP="00A85CA5">
      <w:pPr>
        <w:autoSpaceDE w:val="0"/>
        <w:autoSpaceDN w:val="0"/>
        <w:adjustRightInd w:val="0"/>
        <w:rPr>
          <w:rFonts w:cs="Arial"/>
          <w:sz w:val="24"/>
          <w:szCs w:val="24"/>
          <w:lang w:val="fr-BE"/>
        </w:rPr>
      </w:pPr>
    </w:p>
    <w:p w:rsidR="00934E92" w:rsidRPr="00D333A9" w:rsidRDefault="00934E92" w:rsidP="00A85CA5">
      <w:pPr>
        <w:autoSpaceDE w:val="0"/>
        <w:autoSpaceDN w:val="0"/>
        <w:adjustRightInd w:val="0"/>
        <w:rPr>
          <w:rFonts w:cs="Arial"/>
          <w:sz w:val="24"/>
          <w:szCs w:val="24"/>
          <w:lang w:val="nl-NL"/>
        </w:rPr>
      </w:pPr>
      <w:r w:rsidRPr="00D333A9">
        <w:rPr>
          <w:rFonts w:cs="Arial"/>
          <w:sz w:val="24"/>
          <w:szCs w:val="24"/>
          <w:lang w:val="fr-BE"/>
        </w:rPr>
        <w:t xml:space="preserve">De </w:t>
      </w:r>
      <w:proofErr w:type="spellStart"/>
      <w:r w:rsidRPr="00D333A9">
        <w:rPr>
          <w:rFonts w:cs="Arial"/>
          <w:sz w:val="24"/>
          <w:szCs w:val="24"/>
          <w:lang w:val="fr-BE"/>
        </w:rPr>
        <w:t>Doncker</w:t>
      </w:r>
      <w:proofErr w:type="spellEnd"/>
      <w:r w:rsidRPr="00D333A9">
        <w:rPr>
          <w:rFonts w:cs="Arial"/>
          <w:sz w:val="24"/>
          <w:szCs w:val="24"/>
          <w:lang w:val="fr-BE"/>
        </w:rPr>
        <w:t xml:space="preserve"> J, De </w:t>
      </w:r>
      <w:proofErr w:type="spellStart"/>
      <w:r w:rsidRPr="00D333A9">
        <w:rPr>
          <w:rFonts w:cs="Arial"/>
          <w:sz w:val="24"/>
          <w:szCs w:val="24"/>
          <w:lang w:val="fr-BE"/>
        </w:rPr>
        <w:t>Donder</w:t>
      </w:r>
      <w:proofErr w:type="spellEnd"/>
      <w:r w:rsidRPr="00D333A9">
        <w:rPr>
          <w:rFonts w:cs="Arial"/>
          <w:sz w:val="24"/>
          <w:szCs w:val="24"/>
          <w:lang w:val="fr-BE"/>
        </w:rPr>
        <w:t xml:space="preserve"> E, Möbius D. </w:t>
      </w:r>
      <w:proofErr w:type="spellStart"/>
      <w:r w:rsidRPr="00D333A9">
        <w:rPr>
          <w:rFonts w:cs="Arial"/>
          <w:sz w:val="24"/>
          <w:szCs w:val="24"/>
          <w:lang w:val="fr-BE"/>
        </w:rPr>
        <w:t>Alcohol</w:t>
      </w:r>
      <w:proofErr w:type="spellEnd"/>
      <w:r w:rsidRPr="00D333A9">
        <w:rPr>
          <w:rFonts w:cs="Arial"/>
          <w:sz w:val="24"/>
          <w:szCs w:val="24"/>
          <w:lang w:val="fr-BE"/>
        </w:rPr>
        <w:t xml:space="preserve"> rapport. </w:t>
      </w:r>
      <w:r w:rsidRPr="00D333A9">
        <w:rPr>
          <w:rFonts w:cs="Arial"/>
          <w:sz w:val="24"/>
          <w:szCs w:val="24"/>
          <w:lang w:val="nl-NL"/>
        </w:rPr>
        <w:t xml:space="preserve">Wettelijk depot </w:t>
      </w:r>
      <w:proofErr w:type="spellStart"/>
      <w:r w:rsidRPr="00D333A9">
        <w:rPr>
          <w:rFonts w:cs="Arial"/>
          <w:sz w:val="24"/>
          <w:szCs w:val="24"/>
          <w:lang w:val="nl-NL"/>
        </w:rPr>
        <w:t>Nr</w:t>
      </w:r>
      <w:proofErr w:type="spellEnd"/>
      <w:r w:rsidRPr="00D333A9">
        <w:rPr>
          <w:rFonts w:cs="Arial"/>
          <w:sz w:val="24"/>
          <w:szCs w:val="24"/>
          <w:lang w:val="nl-NL"/>
        </w:rPr>
        <w:t xml:space="preserve">: D/2015/6030/28; 2015. </w:t>
      </w:r>
      <w:proofErr w:type="gramStart"/>
      <w:r w:rsidRPr="00D333A9">
        <w:rPr>
          <w:rFonts w:cs="Arial"/>
          <w:sz w:val="24"/>
          <w:szCs w:val="24"/>
          <w:lang w:val="nl-NL"/>
        </w:rPr>
        <w:t>p</w:t>
      </w:r>
      <w:proofErr w:type="gramEnd"/>
      <w:r w:rsidRPr="00D333A9">
        <w:rPr>
          <w:rFonts w:cs="Arial"/>
          <w:sz w:val="24"/>
          <w:szCs w:val="24"/>
          <w:lang w:val="nl-NL"/>
        </w:rPr>
        <w:t>118.</w:t>
      </w:r>
    </w:p>
    <w:p w:rsidR="00A85CA5" w:rsidRPr="00D333A9" w:rsidRDefault="00A85CA5" w:rsidP="00A85CA5">
      <w:pPr>
        <w:autoSpaceDE w:val="0"/>
        <w:autoSpaceDN w:val="0"/>
        <w:adjustRightInd w:val="0"/>
        <w:rPr>
          <w:rFonts w:cs="Arial"/>
          <w:sz w:val="24"/>
          <w:szCs w:val="24"/>
          <w:lang w:val="nl-NL"/>
        </w:rPr>
      </w:pPr>
    </w:p>
    <w:p w:rsidR="00934E92" w:rsidRPr="00D333A9" w:rsidRDefault="00934E92" w:rsidP="00934E92">
      <w:pPr>
        <w:autoSpaceDE w:val="0"/>
        <w:autoSpaceDN w:val="0"/>
        <w:adjustRightInd w:val="0"/>
        <w:rPr>
          <w:rFonts w:cs="Arial"/>
          <w:sz w:val="24"/>
          <w:szCs w:val="24"/>
        </w:rPr>
      </w:pPr>
      <w:r w:rsidRPr="00D333A9">
        <w:rPr>
          <w:rFonts w:cs="Arial"/>
          <w:sz w:val="24"/>
          <w:szCs w:val="24"/>
          <w:lang w:val="fr-BE"/>
        </w:rPr>
        <w:t xml:space="preserve">de la Monte SM, </w:t>
      </w:r>
      <w:proofErr w:type="spellStart"/>
      <w:r w:rsidRPr="00D333A9">
        <w:rPr>
          <w:rFonts w:cs="Arial"/>
          <w:sz w:val="24"/>
          <w:szCs w:val="24"/>
          <w:lang w:val="fr-BE"/>
        </w:rPr>
        <w:t>Kril</w:t>
      </w:r>
      <w:proofErr w:type="spellEnd"/>
      <w:r w:rsidRPr="00D333A9">
        <w:rPr>
          <w:rFonts w:cs="Arial"/>
          <w:sz w:val="24"/>
          <w:szCs w:val="24"/>
          <w:lang w:val="fr-BE"/>
        </w:rPr>
        <w:t xml:space="preserve"> JJ. </w:t>
      </w:r>
      <w:r w:rsidRPr="00D333A9">
        <w:rPr>
          <w:rFonts w:cs="Arial"/>
          <w:sz w:val="24"/>
          <w:szCs w:val="24"/>
        </w:rPr>
        <w:t xml:space="preserve">Human alcohol-related neuropathology. Acta </w:t>
      </w:r>
      <w:proofErr w:type="spellStart"/>
      <w:r w:rsidRPr="00D333A9">
        <w:rPr>
          <w:rFonts w:cs="Arial"/>
          <w:sz w:val="24"/>
          <w:szCs w:val="24"/>
        </w:rPr>
        <w:t>Neuropathol</w:t>
      </w:r>
      <w:proofErr w:type="spellEnd"/>
      <w:r w:rsidRPr="00D333A9">
        <w:rPr>
          <w:rFonts w:cs="Arial"/>
          <w:sz w:val="24"/>
          <w:szCs w:val="24"/>
        </w:rPr>
        <w:t xml:space="preserve"> 2014;127(1):71-90.</w:t>
      </w:r>
    </w:p>
    <w:p w:rsidR="00934E92" w:rsidRPr="00D333A9" w:rsidRDefault="00934E92" w:rsidP="00A85CA5">
      <w:pPr>
        <w:autoSpaceDE w:val="0"/>
        <w:autoSpaceDN w:val="0"/>
        <w:adjustRightInd w:val="0"/>
        <w:rPr>
          <w:rFonts w:cs="Arial"/>
          <w:sz w:val="24"/>
          <w:szCs w:val="24"/>
        </w:rPr>
      </w:pPr>
    </w:p>
    <w:p w:rsidR="00934E92" w:rsidRPr="00D333A9" w:rsidRDefault="00934E92" w:rsidP="00A85CA5">
      <w:pPr>
        <w:autoSpaceDE w:val="0"/>
        <w:autoSpaceDN w:val="0"/>
        <w:adjustRightInd w:val="0"/>
        <w:rPr>
          <w:rFonts w:cs="Arial"/>
          <w:sz w:val="24"/>
          <w:szCs w:val="24"/>
          <w:lang w:val="nl-NL"/>
        </w:rPr>
      </w:pPr>
      <w:r w:rsidRPr="00D333A9">
        <w:rPr>
          <w:rFonts w:cs="Arial"/>
          <w:sz w:val="24"/>
          <w:szCs w:val="24"/>
          <w:lang w:val="nl-NL"/>
        </w:rPr>
        <w:t xml:space="preserve">De Ridder K, Bel S, </w:t>
      </w:r>
      <w:proofErr w:type="spellStart"/>
      <w:r w:rsidRPr="00D333A9">
        <w:rPr>
          <w:rFonts w:cs="Arial"/>
          <w:sz w:val="24"/>
          <w:szCs w:val="24"/>
          <w:lang w:val="nl-NL"/>
        </w:rPr>
        <w:t>Brocatus</w:t>
      </w:r>
      <w:proofErr w:type="spellEnd"/>
      <w:r w:rsidRPr="00D333A9">
        <w:rPr>
          <w:rFonts w:cs="Arial"/>
          <w:sz w:val="24"/>
          <w:szCs w:val="24"/>
          <w:lang w:val="nl-NL"/>
        </w:rPr>
        <w:t xml:space="preserve"> L, </w:t>
      </w:r>
      <w:proofErr w:type="spellStart"/>
      <w:r w:rsidRPr="00D333A9">
        <w:rPr>
          <w:rFonts w:cs="Arial"/>
          <w:sz w:val="24"/>
          <w:szCs w:val="24"/>
          <w:lang w:val="nl-NL"/>
        </w:rPr>
        <w:t>Lebacq</w:t>
      </w:r>
      <w:proofErr w:type="spellEnd"/>
      <w:r w:rsidRPr="00D333A9">
        <w:rPr>
          <w:rFonts w:cs="Arial"/>
          <w:sz w:val="24"/>
          <w:szCs w:val="24"/>
          <w:lang w:val="nl-NL"/>
        </w:rPr>
        <w:t xml:space="preserve"> T, </w:t>
      </w:r>
      <w:proofErr w:type="spellStart"/>
      <w:r w:rsidRPr="00D333A9">
        <w:rPr>
          <w:rFonts w:cs="Arial"/>
          <w:sz w:val="24"/>
          <w:szCs w:val="24"/>
          <w:lang w:val="nl-NL"/>
        </w:rPr>
        <w:t>Moyersoen</w:t>
      </w:r>
      <w:proofErr w:type="spellEnd"/>
      <w:r w:rsidRPr="00D333A9">
        <w:rPr>
          <w:rFonts w:cs="Arial"/>
          <w:sz w:val="24"/>
          <w:szCs w:val="24"/>
          <w:lang w:val="nl-NL"/>
        </w:rPr>
        <w:t xml:space="preserve"> I, </w:t>
      </w:r>
      <w:proofErr w:type="spellStart"/>
      <w:r w:rsidRPr="00D333A9">
        <w:rPr>
          <w:rFonts w:cs="Arial"/>
          <w:sz w:val="24"/>
          <w:szCs w:val="24"/>
          <w:lang w:val="nl-NL"/>
        </w:rPr>
        <w:t>Ost</w:t>
      </w:r>
      <w:proofErr w:type="spellEnd"/>
      <w:r w:rsidRPr="00D333A9">
        <w:rPr>
          <w:rFonts w:cs="Arial"/>
          <w:sz w:val="24"/>
          <w:szCs w:val="24"/>
          <w:lang w:val="nl-NL"/>
        </w:rPr>
        <w:t xml:space="preserve"> C &amp; </w:t>
      </w:r>
      <w:proofErr w:type="spellStart"/>
      <w:r w:rsidRPr="00D333A9">
        <w:rPr>
          <w:rFonts w:cs="Arial"/>
          <w:sz w:val="24"/>
          <w:szCs w:val="24"/>
          <w:lang w:val="nl-NL"/>
        </w:rPr>
        <w:t>Teppers</w:t>
      </w:r>
      <w:proofErr w:type="spellEnd"/>
      <w:r w:rsidRPr="00D333A9">
        <w:rPr>
          <w:rFonts w:cs="Arial"/>
          <w:sz w:val="24"/>
          <w:szCs w:val="24"/>
          <w:lang w:val="nl-NL"/>
        </w:rPr>
        <w:t xml:space="preserve"> E.  De consumptie van voedings</w:t>
      </w:r>
      <w:r w:rsidRPr="00D333A9">
        <w:rPr>
          <w:rFonts w:cs="Arial"/>
          <w:sz w:val="24"/>
          <w:szCs w:val="24"/>
          <w:lang w:val="nl-NL"/>
        </w:rPr>
        <w:softHyphen/>
        <w:t xml:space="preserve">middelen en de inname van voedingsstoffen. In: Bel S, </w:t>
      </w:r>
      <w:proofErr w:type="spellStart"/>
      <w:r w:rsidRPr="00D333A9">
        <w:rPr>
          <w:rFonts w:cs="Arial"/>
          <w:sz w:val="24"/>
          <w:szCs w:val="24"/>
          <w:lang w:val="nl-NL"/>
        </w:rPr>
        <w:t>Tafforeau</w:t>
      </w:r>
      <w:proofErr w:type="spellEnd"/>
      <w:r w:rsidRPr="00D333A9">
        <w:rPr>
          <w:rFonts w:cs="Arial"/>
          <w:sz w:val="24"/>
          <w:szCs w:val="24"/>
          <w:lang w:val="nl-NL"/>
        </w:rPr>
        <w:t xml:space="preserve"> J, editors. Voedselconsumptiepeiling 2014-2015. Rapport 4. WIV-ISP, Brussel; 2016.</w:t>
      </w:r>
    </w:p>
    <w:p w:rsidR="00934E92" w:rsidRPr="00D333A9" w:rsidRDefault="00934E92" w:rsidP="00A85CA5">
      <w:pPr>
        <w:autoSpaceDE w:val="0"/>
        <w:autoSpaceDN w:val="0"/>
        <w:adjustRightInd w:val="0"/>
        <w:rPr>
          <w:rFonts w:cs="Arial"/>
          <w:sz w:val="24"/>
          <w:szCs w:val="24"/>
          <w:lang w:val="nl-NL"/>
        </w:rPr>
      </w:pPr>
    </w:p>
    <w:p w:rsidR="00934E92" w:rsidRPr="00D333A9" w:rsidRDefault="00934E92" w:rsidP="00A85CA5">
      <w:pPr>
        <w:autoSpaceDE w:val="0"/>
        <w:autoSpaceDN w:val="0"/>
        <w:adjustRightInd w:val="0"/>
        <w:rPr>
          <w:rFonts w:cs="Arial"/>
          <w:sz w:val="24"/>
          <w:szCs w:val="24"/>
        </w:rPr>
      </w:pPr>
      <w:proofErr w:type="spellStart"/>
      <w:r w:rsidRPr="00D333A9">
        <w:rPr>
          <w:rFonts w:cs="Arial"/>
          <w:sz w:val="24"/>
          <w:szCs w:val="24"/>
        </w:rPr>
        <w:t>Devaux</w:t>
      </w:r>
      <w:proofErr w:type="spellEnd"/>
      <w:r w:rsidRPr="00D333A9">
        <w:rPr>
          <w:rFonts w:cs="Arial"/>
          <w:sz w:val="24"/>
          <w:szCs w:val="24"/>
        </w:rPr>
        <w:t xml:space="preserve"> M. Social disparities in alcohol drinking. In: Sassi F, editor. Tackling Harmful Alcohol Use. Economics </w:t>
      </w:r>
      <w:proofErr w:type="gramStart"/>
      <w:r w:rsidRPr="00D333A9">
        <w:rPr>
          <w:rFonts w:cs="Arial"/>
          <w:sz w:val="24"/>
          <w:szCs w:val="24"/>
        </w:rPr>
        <w:t>And</w:t>
      </w:r>
      <w:proofErr w:type="gramEnd"/>
      <w:r w:rsidRPr="00D333A9">
        <w:rPr>
          <w:rFonts w:cs="Arial"/>
          <w:sz w:val="24"/>
          <w:szCs w:val="24"/>
        </w:rPr>
        <w:t xml:space="preserve"> Public Health Policy 2015; </w:t>
      </w:r>
      <w:proofErr w:type="spellStart"/>
      <w:r w:rsidRPr="00D333A9">
        <w:rPr>
          <w:rFonts w:cs="Arial"/>
          <w:sz w:val="24"/>
          <w:szCs w:val="24"/>
        </w:rPr>
        <w:t>Parijs</w:t>
      </w:r>
      <w:proofErr w:type="spellEnd"/>
      <w:r w:rsidRPr="00D333A9">
        <w:rPr>
          <w:rFonts w:cs="Arial"/>
          <w:sz w:val="24"/>
          <w:szCs w:val="24"/>
        </w:rPr>
        <w:t>: p.61-80.</w:t>
      </w:r>
    </w:p>
    <w:p w:rsidR="00934E92" w:rsidRPr="00D333A9" w:rsidRDefault="00934E92" w:rsidP="00A85CA5">
      <w:pPr>
        <w:autoSpaceDE w:val="0"/>
        <w:autoSpaceDN w:val="0"/>
        <w:adjustRightInd w:val="0"/>
        <w:rPr>
          <w:rFonts w:cs="Arial"/>
          <w:sz w:val="24"/>
          <w:szCs w:val="24"/>
        </w:rPr>
      </w:pPr>
    </w:p>
    <w:p w:rsidR="00934E92" w:rsidRPr="00D333A9" w:rsidRDefault="00934E92" w:rsidP="00A85CA5">
      <w:pPr>
        <w:autoSpaceDE w:val="0"/>
        <w:autoSpaceDN w:val="0"/>
        <w:adjustRightInd w:val="0"/>
        <w:rPr>
          <w:rFonts w:cs="Arial"/>
          <w:sz w:val="24"/>
          <w:szCs w:val="24"/>
          <w:lang w:val="nl-NL"/>
        </w:rPr>
      </w:pPr>
      <w:r w:rsidRPr="00D333A9">
        <w:rPr>
          <w:rFonts w:cs="Arial"/>
          <w:sz w:val="24"/>
          <w:szCs w:val="24"/>
          <w:lang w:val="nl-NL"/>
        </w:rPr>
        <w:t>Gezondheidsraad. Richtlijnen goede voeding 2015. Den Haag: Gezondheidsraad, 2015; publicatienr. 2015/24.</w:t>
      </w:r>
    </w:p>
    <w:p w:rsidR="00934E92" w:rsidRPr="00D333A9" w:rsidRDefault="00934E92" w:rsidP="00A85CA5">
      <w:pPr>
        <w:autoSpaceDE w:val="0"/>
        <w:autoSpaceDN w:val="0"/>
        <w:adjustRightInd w:val="0"/>
        <w:rPr>
          <w:rFonts w:cs="Arial"/>
          <w:sz w:val="24"/>
          <w:szCs w:val="24"/>
          <w:lang w:val="nl-NL"/>
        </w:rPr>
      </w:pPr>
    </w:p>
    <w:p w:rsidR="00934E92" w:rsidRPr="00D333A9" w:rsidRDefault="00934E92" w:rsidP="00A85CA5">
      <w:pPr>
        <w:autoSpaceDE w:val="0"/>
        <w:autoSpaceDN w:val="0"/>
        <w:adjustRightInd w:val="0"/>
        <w:rPr>
          <w:rFonts w:cs="Arial"/>
          <w:sz w:val="24"/>
          <w:szCs w:val="24"/>
        </w:rPr>
      </w:pPr>
      <w:proofErr w:type="spellStart"/>
      <w:r w:rsidRPr="00D333A9">
        <w:rPr>
          <w:rFonts w:cs="Arial"/>
          <w:sz w:val="24"/>
          <w:szCs w:val="24"/>
          <w:lang w:val="nl-NL"/>
        </w:rPr>
        <w:t>Gisle</w:t>
      </w:r>
      <w:proofErr w:type="spellEnd"/>
      <w:r w:rsidRPr="00D333A9">
        <w:rPr>
          <w:rFonts w:cs="Arial"/>
          <w:sz w:val="24"/>
          <w:szCs w:val="24"/>
          <w:lang w:val="nl-NL"/>
        </w:rPr>
        <w:t xml:space="preserve"> L. Alcoholgebruik. In: </w:t>
      </w:r>
      <w:proofErr w:type="spellStart"/>
      <w:r w:rsidRPr="00D333A9">
        <w:rPr>
          <w:rFonts w:cs="Arial"/>
          <w:sz w:val="24"/>
          <w:szCs w:val="24"/>
          <w:lang w:val="nl-NL"/>
        </w:rPr>
        <w:t>Gisle</w:t>
      </w:r>
      <w:proofErr w:type="spellEnd"/>
      <w:r w:rsidRPr="00D333A9">
        <w:rPr>
          <w:rFonts w:cs="Arial"/>
          <w:sz w:val="24"/>
          <w:szCs w:val="24"/>
          <w:lang w:val="nl-NL"/>
        </w:rPr>
        <w:t xml:space="preserve"> L, </w:t>
      </w:r>
      <w:proofErr w:type="spellStart"/>
      <w:r w:rsidRPr="00D333A9">
        <w:rPr>
          <w:rFonts w:cs="Arial"/>
          <w:sz w:val="24"/>
          <w:szCs w:val="24"/>
          <w:lang w:val="nl-NL"/>
        </w:rPr>
        <w:t>Demarest</w:t>
      </w:r>
      <w:proofErr w:type="spellEnd"/>
      <w:r w:rsidRPr="00D333A9">
        <w:rPr>
          <w:rFonts w:cs="Arial"/>
          <w:sz w:val="24"/>
          <w:szCs w:val="24"/>
          <w:lang w:val="nl-NL"/>
        </w:rPr>
        <w:t xml:space="preserve"> S, editors. Gezondheidsenquête 2013. </w:t>
      </w:r>
      <w:r w:rsidRPr="00D333A9">
        <w:rPr>
          <w:rFonts w:cs="Arial"/>
          <w:sz w:val="24"/>
          <w:szCs w:val="24"/>
        </w:rPr>
        <w:t xml:space="preserve">Rapport 2: </w:t>
      </w:r>
      <w:proofErr w:type="spellStart"/>
      <w:r w:rsidRPr="00D333A9">
        <w:rPr>
          <w:rFonts w:cs="Arial"/>
          <w:sz w:val="24"/>
          <w:szCs w:val="24"/>
        </w:rPr>
        <w:t>Gezondheidsgedrag</w:t>
      </w:r>
      <w:proofErr w:type="spellEnd"/>
      <w:r w:rsidRPr="00D333A9">
        <w:rPr>
          <w:rFonts w:cs="Arial"/>
          <w:sz w:val="24"/>
          <w:szCs w:val="24"/>
        </w:rPr>
        <w:t xml:space="preserve"> </w:t>
      </w:r>
      <w:proofErr w:type="spellStart"/>
      <w:r w:rsidRPr="00D333A9">
        <w:rPr>
          <w:rFonts w:cs="Arial"/>
          <w:sz w:val="24"/>
          <w:szCs w:val="24"/>
        </w:rPr>
        <w:t>en</w:t>
      </w:r>
      <w:proofErr w:type="spellEnd"/>
      <w:r w:rsidRPr="00D333A9">
        <w:rPr>
          <w:rFonts w:cs="Arial"/>
          <w:sz w:val="24"/>
          <w:szCs w:val="24"/>
        </w:rPr>
        <w:t xml:space="preserve"> </w:t>
      </w:r>
      <w:proofErr w:type="spellStart"/>
      <w:r w:rsidRPr="00D333A9">
        <w:rPr>
          <w:rFonts w:cs="Arial"/>
          <w:sz w:val="24"/>
          <w:szCs w:val="24"/>
        </w:rPr>
        <w:t>Leefstijl</w:t>
      </w:r>
      <w:proofErr w:type="spellEnd"/>
      <w:r w:rsidRPr="00D333A9">
        <w:rPr>
          <w:rFonts w:cs="Arial"/>
          <w:sz w:val="24"/>
          <w:szCs w:val="24"/>
        </w:rPr>
        <w:t>. WIV-ISP, Brussel, 2014.</w:t>
      </w:r>
    </w:p>
    <w:p w:rsidR="00934E92" w:rsidRPr="00D333A9" w:rsidRDefault="00934E92" w:rsidP="00B757A7">
      <w:pPr>
        <w:autoSpaceDE w:val="0"/>
        <w:autoSpaceDN w:val="0"/>
        <w:adjustRightInd w:val="0"/>
        <w:rPr>
          <w:rFonts w:cs="Arial"/>
          <w:sz w:val="24"/>
          <w:szCs w:val="24"/>
        </w:rPr>
      </w:pPr>
    </w:p>
    <w:p w:rsidR="00934E92" w:rsidRPr="00D333A9" w:rsidRDefault="00934E92" w:rsidP="00B757A7">
      <w:pPr>
        <w:autoSpaceDE w:val="0"/>
        <w:autoSpaceDN w:val="0"/>
        <w:adjustRightInd w:val="0"/>
        <w:rPr>
          <w:rFonts w:cs="Arial"/>
          <w:sz w:val="24"/>
          <w:szCs w:val="24"/>
        </w:rPr>
      </w:pPr>
      <w:r w:rsidRPr="00D333A9">
        <w:rPr>
          <w:rFonts w:cs="Arial"/>
          <w:sz w:val="24"/>
          <w:szCs w:val="24"/>
        </w:rPr>
        <w:t>Global, regional, and national disability-adjusted life-years (DALYs) for 333 diseases and injuries and healthy life expectancy (HALE) for 195 countries and territories, 1990-2016: a systematic analysis for the Global Burden of Disease Study 2016. Lancet 2017;390(10100):1260-344.</w:t>
      </w:r>
    </w:p>
    <w:p w:rsidR="00934E92" w:rsidRPr="00D333A9" w:rsidRDefault="00934E92" w:rsidP="00B757A7">
      <w:pPr>
        <w:autoSpaceDE w:val="0"/>
        <w:autoSpaceDN w:val="0"/>
        <w:adjustRightInd w:val="0"/>
        <w:rPr>
          <w:rFonts w:cs="Arial"/>
          <w:sz w:val="24"/>
          <w:szCs w:val="24"/>
        </w:rPr>
      </w:pPr>
    </w:p>
    <w:p w:rsidR="00934E92" w:rsidRPr="00D333A9" w:rsidRDefault="00934E92" w:rsidP="00B757A7">
      <w:pPr>
        <w:autoSpaceDE w:val="0"/>
        <w:autoSpaceDN w:val="0"/>
        <w:adjustRightInd w:val="0"/>
        <w:rPr>
          <w:rFonts w:cs="Arial"/>
          <w:sz w:val="24"/>
          <w:szCs w:val="24"/>
        </w:rPr>
      </w:pPr>
      <w:proofErr w:type="spellStart"/>
      <w:r w:rsidRPr="00D333A9">
        <w:rPr>
          <w:rFonts w:cs="Arial"/>
          <w:sz w:val="24"/>
          <w:szCs w:val="24"/>
        </w:rPr>
        <w:t>Hamajima</w:t>
      </w:r>
      <w:proofErr w:type="spellEnd"/>
      <w:r w:rsidRPr="00D333A9">
        <w:rPr>
          <w:rFonts w:cs="Arial"/>
          <w:sz w:val="24"/>
          <w:szCs w:val="24"/>
        </w:rPr>
        <w:t xml:space="preserve"> N, Hirose K, Tajima K, Rohan T, Calle EE, Heath CW, Jr., et al. Alcohol, tobacco and breast cancer--collaborative reanalysis of individual data from 53 epidemiological studies, including 58,515 women with breast cancer and 95,067 women without the disease. Br J Cancer 2002;87(11):1234-45.</w:t>
      </w:r>
    </w:p>
    <w:p w:rsidR="00934E92" w:rsidRPr="00D333A9" w:rsidRDefault="00934E92" w:rsidP="00B757A7">
      <w:pPr>
        <w:autoSpaceDE w:val="0"/>
        <w:autoSpaceDN w:val="0"/>
        <w:adjustRightInd w:val="0"/>
        <w:rPr>
          <w:rFonts w:cs="Arial"/>
          <w:sz w:val="24"/>
          <w:szCs w:val="24"/>
        </w:rPr>
      </w:pPr>
    </w:p>
    <w:p w:rsidR="00934E92" w:rsidRPr="00D333A9" w:rsidRDefault="00934E92" w:rsidP="00B757A7">
      <w:pPr>
        <w:autoSpaceDE w:val="0"/>
        <w:autoSpaceDN w:val="0"/>
        <w:adjustRightInd w:val="0"/>
        <w:rPr>
          <w:rFonts w:cs="Arial"/>
          <w:sz w:val="24"/>
          <w:szCs w:val="24"/>
          <w:lang w:val="fr-BE"/>
        </w:rPr>
      </w:pPr>
      <w:r w:rsidRPr="00D333A9">
        <w:rPr>
          <w:rFonts w:cs="Arial"/>
          <w:sz w:val="24"/>
          <w:szCs w:val="24"/>
        </w:rPr>
        <w:t xml:space="preserve">Harris EC, Barraclough B. Excess mortality of mental disorder. </w:t>
      </w:r>
      <w:r w:rsidRPr="00D333A9">
        <w:rPr>
          <w:rFonts w:cs="Arial"/>
          <w:sz w:val="24"/>
          <w:szCs w:val="24"/>
          <w:lang w:val="fr-BE"/>
        </w:rPr>
        <w:t xml:space="preserve">Br J </w:t>
      </w:r>
      <w:proofErr w:type="spellStart"/>
      <w:r w:rsidRPr="00D333A9">
        <w:rPr>
          <w:rFonts w:cs="Arial"/>
          <w:sz w:val="24"/>
          <w:szCs w:val="24"/>
          <w:lang w:val="fr-BE"/>
        </w:rPr>
        <w:t>Psychiatry</w:t>
      </w:r>
      <w:proofErr w:type="spellEnd"/>
      <w:r w:rsidRPr="00D333A9">
        <w:rPr>
          <w:rFonts w:cs="Arial"/>
          <w:sz w:val="24"/>
          <w:szCs w:val="24"/>
          <w:lang w:val="fr-BE"/>
        </w:rPr>
        <w:t xml:space="preserve"> 1998;173:11-53.</w:t>
      </w:r>
    </w:p>
    <w:p w:rsidR="00934E92" w:rsidRPr="00D333A9" w:rsidRDefault="00934E92" w:rsidP="00B757A7">
      <w:pPr>
        <w:autoSpaceDE w:val="0"/>
        <w:autoSpaceDN w:val="0"/>
        <w:adjustRightInd w:val="0"/>
        <w:rPr>
          <w:rFonts w:cs="Arial"/>
          <w:sz w:val="24"/>
          <w:szCs w:val="24"/>
          <w:lang w:val="fr-BE"/>
        </w:rPr>
      </w:pPr>
    </w:p>
    <w:p w:rsidR="00934E92" w:rsidRPr="00D333A9" w:rsidRDefault="00934E92" w:rsidP="00B757A7">
      <w:pPr>
        <w:autoSpaceDE w:val="0"/>
        <w:autoSpaceDN w:val="0"/>
        <w:adjustRightInd w:val="0"/>
        <w:rPr>
          <w:rFonts w:cs="Arial"/>
          <w:sz w:val="24"/>
          <w:szCs w:val="24"/>
        </w:rPr>
      </w:pPr>
      <w:r w:rsidRPr="00D333A9">
        <w:rPr>
          <w:rFonts w:cs="Arial"/>
          <w:sz w:val="24"/>
          <w:szCs w:val="24"/>
          <w:lang w:val="fr-BE"/>
        </w:rPr>
        <w:t xml:space="preserve">Holmes J, Meng Y, Meier PS, </w:t>
      </w:r>
      <w:proofErr w:type="spellStart"/>
      <w:r w:rsidRPr="00D333A9">
        <w:rPr>
          <w:rFonts w:cs="Arial"/>
          <w:sz w:val="24"/>
          <w:szCs w:val="24"/>
          <w:lang w:val="fr-BE"/>
        </w:rPr>
        <w:t>Brennan</w:t>
      </w:r>
      <w:proofErr w:type="spellEnd"/>
      <w:r w:rsidRPr="00D333A9">
        <w:rPr>
          <w:rFonts w:cs="Arial"/>
          <w:sz w:val="24"/>
          <w:szCs w:val="24"/>
          <w:lang w:val="fr-BE"/>
        </w:rPr>
        <w:t xml:space="preserve"> A, Angus C, Campbell-Burton A, et al. </w:t>
      </w:r>
      <w:r w:rsidRPr="00D333A9">
        <w:rPr>
          <w:rFonts w:cs="Arial"/>
          <w:sz w:val="24"/>
          <w:szCs w:val="24"/>
        </w:rPr>
        <w:t>Effects of minimum unit pricing for alcohol on different income and socioeconomic groups: a modelling study. Lancet 2014;383(9929):1655-64.</w:t>
      </w:r>
    </w:p>
    <w:p w:rsidR="00934E92" w:rsidRPr="00D333A9" w:rsidRDefault="00934E92" w:rsidP="00A85CA5">
      <w:pPr>
        <w:autoSpaceDE w:val="0"/>
        <w:autoSpaceDN w:val="0"/>
        <w:adjustRightInd w:val="0"/>
        <w:rPr>
          <w:rFonts w:cs="Arial"/>
          <w:sz w:val="24"/>
          <w:szCs w:val="24"/>
        </w:rPr>
      </w:pPr>
    </w:p>
    <w:p w:rsidR="00934E92" w:rsidRPr="00D333A9" w:rsidRDefault="00934E92" w:rsidP="00A85CA5">
      <w:pPr>
        <w:autoSpaceDE w:val="0"/>
        <w:autoSpaceDN w:val="0"/>
        <w:adjustRightInd w:val="0"/>
        <w:rPr>
          <w:rFonts w:cs="Arial"/>
          <w:sz w:val="24"/>
          <w:szCs w:val="24"/>
        </w:rPr>
      </w:pPr>
      <w:r w:rsidRPr="00D333A9">
        <w:rPr>
          <w:rFonts w:cs="Arial"/>
          <w:sz w:val="24"/>
          <w:szCs w:val="24"/>
        </w:rPr>
        <w:t xml:space="preserve">Hutchinson D, </w:t>
      </w:r>
      <w:proofErr w:type="spellStart"/>
      <w:r w:rsidRPr="00D333A9">
        <w:rPr>
          <w:rFonts w:cs="Arial"/>
          <w:sz w:val="24"/>
          <w:szCs w:val="24"/>
        </w:rPr>
        <w:t>Mattick</w:t>
      </w:r>
      <w:proofErr w:type="spellEnd"/>
      <w:r w:rsidRPr="00D333A9">
        <w:rPr>
          <w:rFonts w:cs="Arial"/>
          <w:sz w:val="24"/>
          <w:szCs w:val="24"/>
        </w:rPr>
        <w:t xml:space="preserve"> R, Braunstein D, Maloney E, Wilson J. The Impact of Alcohol Use Disorders on Family Life: A Review of the Empirical Literature 2014; NDARC Technical Report No. 325. Sidney: National Drug </w:t>
      </w:r>
      <w:proofErr w:type="gramStart"/>
      <w:r w:rsidRPr="00D333A9">
        <w:rPr>
          <w:rFonts w:cs="Arial"/>
          <w:sz w:val="24"/>
          <w:szCs w:val="24"/>
        </w:rPr>
        <w:t>And</w:t>
      </w:r>
      <w:proofErr w:type="gramEnd"/>
      <w:r w:rsidRPr="00D333A9">
        <w:rPr>
          <w:rFonts w:cs="Arial"/>
          <w:sz w:val="24"/>
          <w:szCs w:val="24"/>
        </w:rPr>
        <w:t xml:space="preserve"> Alcohol Research Centre. Internet: </w:t>
      </w:r>
      <w:hyperlink r:id="rId18" w:history="1">
        <w:r w:rsidRPr="00D333A9">
          <w:t>https://www.drugsandalcohol.ie/22394/1/The%20impact%20of%20alcohol%20use%20disorders%20on%20family%20life.pdf</w:t>
        </w:r>
      </w:hyperlink>
    </w:p>
    <w:p w:rsidR="00934E92" w:rsidRDefault="00934E92" w:rsidP="00A85CA5">
      <w:pPr>
        <w:autoSpaceDE w:val="0"/>
        <w:autoSpaceDN w:val="0"/>
        <w:adjustRightInd w:val="0"/>
        <w:rPr>
          <w:rFonts w:cs="Arial"/>
          <w:sz w:val="24"/>
          <w:szCs w:val="24"/>
        </w:rPr>
      </w:pPr>
    </w:p>
    <w:p w:rsidR="009B295D" w:rsidRDefault="009B295D" w:rsidP="00A85CA5">
      <w:pPr>
        <w:autoSpaceDE w:val="0"/>
        <w:autoSpaceDN w:val="0"/>
        <w:adjustRightInd w:val="0"/>
        <w:rPr>
          <w:rFonts w:cs="Arial"/>
          <w:sz w:val="24"/>
          <w:szCs w:val="24"/>
        </w:rPr>
      </w:pPr>
    </w:p>
    <w:p w:rsidR="009B295D" w:rsidRPr="00D333A9" w:rsidRDefault="009B295D" w:rsidP="00A85CA5">
      <w:pPr>
        <w:autoSpaceDE w:val="0"/>
        <w:autoSpaceDN w:val="0"/>
        <w:adjustRightInd w:val="0"/>
        <w:rPr>
          <w:rFonts w:cs="Arial"/>
          <w:sz w:val="24"/>
          <w:szCs w:val="24"/>
        </w:rPr>
      </w:pPr>
    </w:p>
    <w:p w:rsidR="00934E92" w:rsidRPr="005D32D9" w:rsidRDefault="00934E92" w:rsidP="00A85CA5">
      <w:pPr>
        <w:autoSpaceDE w:val="0"/>
        <w:autoSpaceDN w:val="0"/>
        <w:adjustRightInd w:val="0"/>
        <w:rPr>
          <w:rFonts w:cs="Arial"/>
          <w:sz w:val="24"/>
          <w:szCs w:val="24"/>
          <w:lang w:val="fr-FR"/>
        </w:rPr>
      </w:pPr>
      <w:r w:rsidRPr="00D333A9">
        <w:rPr>
          <w:rFonts w:cs="Arial"/>
          <w:sz w:val="24"/>
          <w:szCs w:val="24"/>
        </w:rPr>
        <w:t xml:space="preserve">IAR - International Agency for Research on Cancer. IARC monographs on the evaluation of carcinogenic risks to humans: alcohol consumption and ethyl carbamate. </w:t>
      </w:r>
      <w:r w:rsidRPr="005D32D9">
        <w:rPr>
          <w:rFonts w:cs="Arial"/>
          <w:sz w:val="24"/>
          <w:szCs w:val="24"/>
          <w:lang w:val="fr-FR"/>
        </w:rPr>
        <w:t>Lyon: IARC; 2010.</w:t>
      </w:r>
    </w:p>
    <w:p w:rsidR="00934E92" w:rsidRPr="005D32D9" w:rsidRDefault="00934E92" w:rsidP="00A85CA5">
      <w:pPr>
        <w:autoSpaceDE w:val="0"/>
        <w:autoSpaceDN w:val="0"/>
        <w:adjustRightInd w:val="0"/>
        <w:rPr>
          <w:rFonts w:cs="Arial"/>
          <w:sz w:val="24"/>
          <w:szCs w:val="24"/>
          <w:lang w:val="fr-FR"/>
        </w:rPr>
      </w:pPr>
      <w:proofErr w:type="gramStart"/>
      <w:r w:rsidRPr="005D32D9">
        <w:rPr>
          <w:rFonts w:cs="Arial"/>
          <w:sz w:val="24"/>
          <w:szCs w:val="24"/>
          <w:lang w:val="fr-FR"/>
        </w:rPr>
        <w:t>Internet:</w:t>
      </w:r>
      <w:proofErr w:type="gramEnd"/>
      <w:r w:rsidRPr="005D32D9">
        <w:rPr>
          <w:rFonts w:cs="Arial"/>
          <w:sz w:val="24"/>
          <w:szCs w:val="24"/>
          <w:lang w:val="fr-FR"/>
        </w:rPr>
        <w:t xml:space="preserve"> </w:t>
      </w:r>
      <w:r w:rsidR="006450F5">
        <w:rPr>
          <w:rFonts w:cs="Arial"/>
          <w:sz w:val="24"/>
          <w:szCs w:val="24"/>
        </w:rPr>
        <w:fldChar w:fldCharType="begin"/>
      </w:r>
      <w:r w:rsidR="006450F5" w:rsidRPr="005D32D9">
        <w:rPr>
          <w:rFonts w:cs="Arial"/>
          <w:sz w:val="24"/>
          <w:szCs w:val="24"/>
          <w:lang w:val="fr-FR"/>
        </w:rPr>
        <w:instrText xml:space="preserve"> HYPERLINK "https://biblio.ugent.be/publication/8551332/file/8551338.pdf" </w:instrText>
      </w:r>
      <w:r w:rsidR="006450F5">
        <w:rPr>
          <w:rFonts w:cs="Arial"/>
          <w:sz w:val="24"/>
          <w:szCs w:val="24"/>
        </w:rPr>
        <w:fldChar w:fldCharType="separate"/>
      </w:r>
      <w:r w:rsidRPr="005D32D9">
        <w:rPr>
          <w:rFonts w:cs="Arial"/>
          <w:sz w:val="24"/>
          <w:szCs w:val="24"/>
          <w:lang w:val="fr-FR"/>
        </w:rPr>
        <w:t>https://biblio.ugent.be/publication/8551332/file/8551338.pdf</w:t>
      </w:r>
      <w:r w:rsidR="006450F5">
        <w:rPr>
          <w:rFonts w:cs="Arial"/>
          <w:sz w:val="24"/>
          <w:szCs w:val="24"/>
        </w:rPr>
        <w:fldChar w:fldCharType="end"/>
      </w:r>
      <w:r w:rsidRPr="005D32D9">
        <w:rPr>
          <w:rFonts w:cs="Arial"/>
          <w:sz w:val="24"/>
          <w:szCs w:val="24"/>
          <w:lang w:val="fr-FR"/>
        </w:rPr>
        <w:t>.</w:t>
      </w:r>
    </w:p>
    <w:p w:rsidR="00934E92" w:rsidRPr="005D32D9" w:rsidRDefault="00934E92" w:rsidP="00B757A7">
      <w:pPr>
        <w:autoSpaceDE w:val="0"/>
        <w:autoSpaceDN w:val="0"/>
        <w:adjustRightInd w:val="0"/>
        <w:rPr>
          <w:rFonts w:cs="Arial"/>
          <w:sz w:val="24"/>
          <w:szCs w:val="24"/>
          <w:lang w:val="fr-FR"/>
        </w:rPr>
      </w:pPr>
    </w:p>
    <w:p w:rsidR="00934E92" w:rsidRPr="00D333A9" w:rsidRDefault="00934E92" w:rsidP="00B757A7">
      <w:pPr>
        <w:autoSpaceDE w:val="0"/>
        <w:autoSpaceDN w:val="0"/>
        <w:adjustRightInd w:val="0"/>
        <w:rPr>
          <w:rFonts w:cs="Arial"/>
          <w:sz w:val="24"/>
          <w:szCs w:val="24"/>
        </w:rPr>
      </w:pPr>
      <w:r w:rsidRPr="00D333A9">
        <w:rPr>
          <w:rFonts w:cs="Arial"/>
          <w:sz w:val="24"/>
          <w:szCs w:val="24"/>
        </w:rPr>
        <w:t xml:space="preserve">Irving HM, </w:t>
      </w:r>
      <w:proofErr w:type="spellStart"/>
      <w:r w:rsidRPr="00D333A9">
        <w:rPr>
          <w:rFonts w:cs="Arial"/>
          <w:sz w:val="24"/>
          <w:szCs w:val="24"/>
        </w:rPr>
        <w:t>Samokhvalov</w:t>
      </w:r>
      <w:proofErr w:type="spellEnd"/>
      <w:r w:rsidRPr="00D333A9">
        <w:rPr>
          <w:rFonts w:cs="Arial"/>
          <w:sz w:val="24"/>
          <w:szCs w:val="24"/>
        </w:rPr>
        <w:t xml:space="preserve"> AV, Rehm J. Alcohol as a risk factor for pancreatitis. A systematic review and meta-analysis. JOP 2009;10(4):387-92.</w:t>
      </w:r>
    </w:p>
    <w:p w:rsidR="00934E92" w:rsidRPr="00D333A9" w:rsidRDefault="00934E92" w:rsidP="00B757A7">
      <w:pPr>
        <w:autoSpaceDE w:val="0"/>
        <w:autoSpaceDN w:val="0"/>
        <w:adjustRightInd w:val="0"/>
        <w:rPr>
          <w:rFonts w:cs="Arial"/>
          <w:sz w:val="24"/>
          <w:szCs w:val="24"/>
        </w:rPr>
      </w:pPr>
    </w:p>
    <w:p w:rsidR="00934E92" w:rsidRPr="00D333A9" w:rsidRDefault="00934E92" w:rsidP="00B757A7">
      <w:pPr>
        <w:autoSpaceDE w:val="0"/>
        <w:autoSpaceDN w:val="0"/>
        <w:adjustRightInd w:val="0"/>
        <w:rPr>
          <w:rFonts w:cs="Arial"/>
          <w:sz w:val="24"/>
          <w:szCs w:val="24"/>
        </w:rPr>
      </w:pPr>
      <w:proofErr w:type="spellStart"/>
      <w:r w:rsidRPr="00D333A9">
        <w:rPr>
          <w:rFonts w:cs="Arial"/>
          <w:sz w:val="24"/>
          <w:szCs w:val="24"/>
        </w:rPr>
        <w:t>Kmietowicz</w:t>
      </w:r>
      <w:proofErr w:type="spellEnd"/>
      <w:r w:rsidRPr="00D333A9">
        <w:rPr>
          <w:rFonts w:cs="Arial"/>
          <w:sz w:val="24"/>
          <w:szCs w:val="24"/>
        </w:rPr>
        <w:t xml:space="preserve"> Z. NICE recommends minimum price for alcohol to curb high risk drinking. BMJ 2010;340:c2927.</w:t>
      </w:r>
    </w:p>
    <w:p w:rsidR="00934E92" w:rsidRPr="00D333A9" w:rsidRDefault="00934E92" w:rsidP="00934E92">
      <w:pPr>
        <w:autoSpaceDE w:val="0"/>
        <w:autoSpaceDN w:val="0"/>
        <w:adjustRightInd w:val="0"/>
        <w:rPr>
          <w:rFonts w:cs="Arial"/>
          <w:sz w:val="24"/>
          <w:szCs w:val="24"/>
        </w:rPr>
      </w:pPr>
    </w:p>
    <w:p w:rsidR="00934E92" w:rsidRPr="00D333A9" w:rsidRDefault="00934E92" w:rsidP="00934E92">
      <w:pPr>
        <w:autoSpaceDE w:val="0"/>
        <w:autoSpaceDN w:val="0"/>
        <w:adjustRightInd w:val="0"/>
        <w:rPr>
          <w:rFonts w:cs="Arial"/>
          <w:sz w:val="24"/>
          <w:szCs w:val="24"/>
          <w:lang w:val="nl-NL"/>
        </w:rPr>
      </w:pPr>
      <w:proofErr w:type="spellStart"/>
      <w:r w:rsidRPr="00D333A9">
        <w:rPr>
          <w:rFonts w:cs="Arial"/>
          <w:sz w:val="24"/>
          <w:szCs w:val="24"/>
        </w:rPr>
        <w:t>Kraanen</w:t>
      </w:r>
      <w:proofErr w:type="spellEnd"/>
      <w:r w:rsidRPr="00D333A9">
        <w:rPr>
          <w:rFonts w:cs="Arial"/>
          <w:sz w:val="24"/>
          <w:szCs w:val="24"/>
        </w:rPr>
        <w:t xml:space="preserve"> FL, </w:t>
      </w:r>
      <w:proofErr w:type="spellStart"/>
      <w:r w:rsidRPr="00D333A9">
        <w:rPr>
          <w:rFonts w:cs="Arial"/>
          <w:sz w:val="24"/>
          <w:szCs w:val="24"/>
        </w:rPr>
        <w:t>Emmelkamp</w:t>
      </w:r>
      <w:proofErr w:type="spellEnd"/>
      <w:r w:rsidRPr="00D333A9">
        <w:rPr>
          <w:rFonts w:cs="Arial"/>
          <w:sz w:val="24"/>
          <w:szCs w:val="24"/>
        </w:rPr>
        <w:t xml:space="preserve"> PM. Substance misuse and substance use disorders in sex offenders: a review. </w:t>
      </w:r>
      <w:proofErr w:type="spellStart"/>
      <w:r w:rsidRPr="00D333A9">
        <w:rPr>
          <w:rFonts w:cs="Arial"/>
          <w:sz w:val="24"/>
          <w:szCs w:val="24"/>
          <w:lang w:val="nl-NL"/>
        </w:rPr>
        <w:t>Clin</w:t>
      </w:r>
      <w:proofErr w:type="spellEnd"/>
      <w:r w:rsidRPr="00D333A9">
        <w:rPr>
          <w:rFonts w:cs="Arial"/>
          <w:sz w:val="24"/>
          <w:szCs w:val="24"/>
          <w:lang w:val="nl-NL"/>
        </w:rPr>
        <w:t xml:space="preserve"> </w:t>
      </w:r>
      <w:proofErr w:type="spellStart"/>
      <w:r w:rsidRPr="00D333A9">
        <w:rPr>
          <w:rFonts w:cs="Arial"/>
          <w:sz w:val="24"/>
          <w:szCs w:val="24"/>
          <w:lang w:val="nl-NL"/>
        </w:rPr>
        <w:t>Psychol</w:t>
      </w:r>
      <w:proofErr w:type="spellEnd"/>
      <w:r w:rsidRPr="00D333A9">
        <w:rPr>
          <w:rFonts w:cs="Arial"/>
          <w:sz w:val="24"/>
          <w:szCs w:val="24"/>
          <w:lang w:val="nl-NL"/>
        </w:rPr>
        <w:t xml:space="preserve"> </w:t>
      </w:r>
      <w:proofErr w:type="spellStart"/>
      <w:r w:rsidRPr="00D333A9">
        <w:rPr>
          <w:rFonts w:cs="Arial"/>
          <w:sz w:val="24"/>
          <w:szCs w:val="24"/>
          <w:lang w:val="nl-NL"/>
        </w:rPr>
        <w:t>Rev</w:t>
      </w:r>
      <w:proofErr w:type="spellEnd"/>
      <w:r w:rsidRPr="00D333A9">
        <w:rPr>
          <w:rFonts w:cs="Arial"/>
          <w:sz w:val="24"/>
          <w:szCs w:val="24"/>
          <w:lang w:val="nl-NL"/>
        </w:rPr>
        <w:t xml:space="preserve"> 2011;31(3):478-89.</w:t>
      </w:r>
    </w:p>
    <w:p w:rsidR="00934E92" w:rsidRPr="00D333A9" w:rsidRDefault="00934E92" w:rsidP="00934E92">
      <w:pPr>
        <w:autoSpaceDE w:val="0"/>
        <w:autoSpaceDN w:val="0"/>
        <w:adjustRightInd w:val="0"/>
        <w:rPr>
          <w:rFonts w:cs="Arial"/>
          <w:sz w:val="24"/>
          <w:szCs w:val="24"/>
          <w:lang w:val="nl-NL"/>
        </w:rPr>
      </w:pPr>
    </w:p>
    <w:p w:rsidR="00934E92" w:rsidRPr="00D333A9" w:rsidRDefault="00934E92" w:rsidP="00934E92">
      <w:pPr>
        <w:autoSpaceDE w:val="0"/>
        <w:autoSpaceDN w:val="0"/>
        <w:adjustRightInd w:val="0"/>
        <w:rPr>
          <w:rFonts w:cs="Arial"/>
          <w:sz w:val="24"/>
          <w:szCs w:val="24"/>
          <w:lang w:val="nl-NL"/>
        </w:rPr>
      </w:pPr>
      <w:r w:rsidRPr="00D333A9">
        <w:rPr>
          <w:rFonts w:cs="Arial"/>
          <w:sz w:val="24"/>
          <w:szCs w:val="24"/>
          <w:lang w:val="nl-NL"/>
        </w:rPr>
        <w:t xml:space="preserve">Lammers SM, </w:t>
      </w:r>
      <w:proofErr w:type="spellStart"/>
      <w:r w:rsidRPr="00D333A9">
        <w:rPr>
          <w:rFonts w:cs="Arial"/>
          <w:sz w:val="24"/>
          <w:szCs w:val="24"/>
          <w:lang w:val="nl-NL"/>
        </w:rPr>
        <w:t>Soe-Agnie</w:t>
      </w:r>
      <w:proofErr w:type="spellEnd"/>
      <w:r w:rsidRPr="00D333A9">
        <w:rPr>
          <w:rFonts w:cs="Arial"/>
          <w:sz w:val="24"/>
          <w:szCs w:val="24"/>
          <w:lang w:val="nl-NL"/>
        </w:rPr>
        <w:t xml:space="preserve"> SE, De Haan HA, Bakkum GAM, Pomp ER, Nijman HJM. Middelengebruik en criminaliteit: een overzicht. Tijdschrift voor psychiatrie 2014;56(1):32-9. Internet: </w:t>
      </w:r>
      <w:hyperlink r:id="rId19" w:history="1">
        <w:r w:rsidRPr="00D333A9">
          <w:rPr>
            <w:lang w:val="nl-NL"/>
          </w:rPr>
          <w:t>http://www.tijdschriftvoorpsychiatrie.nl/assets/articles/56-2014-1-artikel-lammers.pdf</w:t>
        </w:r>
      </w:hyperlink>
    </w:p>
    <w:p w:rsidR="00934E92" w:rsidRPr="00D333A9" w:rsidRDefault="00934E92" w:rsidP="00B757A7">
      <w:pPr>
        <w:autoSpaceDE w:val="0"/>
        <w:autoSpaceDN w:val="0"/>
        <w:adjustRightInd w:val="0"/>
        <w:rPr>
          <w:rFonts w:cs="Arial"/>
          <w:sz w:val="24"/>
          <w:szCs w:val="24"/>
          <w:lang w:val="nl-NL"/>
        </w:rPr>
      </w:pPr>
    </w:p>
    <w:p w:rsidR="00934E92" w:rsidRPr="00D333A9" w:rsidRDefault="00934E92" w:rsidP="00B757A7">
      <w:pPr>
        <w:autoSpaceDE w:val="0"/>
        <w:autoSpaceDN w:val="0"/>
        <w:adjustRightInd w:val="0"/>
        <w:rPr>
          <w:rFonts w:cs="Arial"/>
          <w:sz w:val="24"/>
          <w:szCs w:val="24"/>
          <w:lang w:val="fr-BE"/>
        </w:rPr>
      </w:pPr>
      <w:r w:rsidRPr="005D32D9">
        <w:rPr>
          <w:rFonts w:cs="Arial"/>
          <w:sz w:val="24"/>
          <w:szCs w:val="24"/>
        </w:rPr>
        <w:t xml:space="preserve">LoConte NK, Brewster AM, Kaur JS, Merrill JK, Alberg AJ. </w:t>
      </w:r>
      <w:r w:rsidRPr="00D333A9">
        <w:rPr>
          <w:rFonts w:cs="Arial"/>
          <w:sz w:val="24"/>
          <w:szCs w:val="24"/>
        </w:rPr>
        <w:t xml:space="preserve">Alcohol and Cancer: A Statement of the American Society of Clinical Oncology. </w:t>
      </w:r>
      <w:r w:rsidRPr="00D333A9">
        <w:rPr>
          <w:rFonts w:cs="Arial"/>
          <w:sz w:val="24"/>
          <w:szCs w:val="24"/>
          <w:lang w:val="fr-BE"/>
        </w:rPr>
        <w:t xml:space="preserve">J Clin </w:t>
      </w:r>
      <w:proofErr w:type="spellStart"/>
      <w:r w:rsidRPr="00D333A9">
        <w:rPr>
          <w:rFonts w:cs="Arial"/>
          <w:sz w:val="24"/>
          <w:szCs w:val="24"/>
          <w:lang w:val="fr-BE"/>
        </w:rPr>
        <w:t>Oncol</w:t>
      </w:r>
      <w:proofErr w:type="spellEnd"/>
      <w:r w:rsidRPr="00D333A9">
        <w:rPr>
          <w:rFonts w:cs="Arial"/>
          <w:sz w:val="24"/>
          <w:szCs w:val="24"/>
          <w:lang w:val="fr-BE"/>
        </w:rPr>
        <w:t xml:space="preserve"> 2018;36(1):83-93.</w:t>
      </w:r>
    </w:p>
    <w:p w:rsidR="00934E92" w:rsidRPr="00D333A9" w:rsidRDefault="00934E92" w:rsidP="00B757A7">
      <w:pPr>
        <w:autoSpaceDE w:val="0"/>
        <w:autoSpaceDN w:val="0"/>
        <w:adjustRightInd w:val="0"/>
        <w:rPr>
          <w:rFonts w:cs="Arial"/>
          <w:sz w:val="24"/>
          <w:szCs w:val="24"/>
          <w:lang w:val="fr-BE"/>
        </w:rPr>
      </w:pPr>
    </w:p>
    <w:p w:rsidR="00934E92" w:rsidRPr="00D333A9" w:rsidRDefault="00934E92" w:rsidP="00A85CA5">
      <w:pPr>
        <w:autoSpaceDE w:val="0"/>
        <w:autoSpaceDN w:val="0"/>
        <w:adjustRightInd w:val="0"/>
        <w:rPr>
          <w:rFonts w:cs="Arial"/>
          <w:sz w:val="24"/>
          <w:szCs w:val="24"/>
          <w:lang w:val="fr-BE"/>
        </w:rPr>
      </w:pPr>
      <w:proofErr w:type="spellStart"/>
      <w:r w:rsidRPr="00D333A9">
        <w:rPr>
          <w:rFonts w:cs="Arial"/>
          <w:sz w:val="24"/>
          <w:szCs w:val="24"/>
          <w:lang w:val="fr-BE"/>
        </w:rPr>
        <w:t>Maurage</w:t>
      </w:r>
      <w:proofErr w:type="spellEnd"/>
      <w:r w:rsidRPr="00D333A9">
        <w:rPr>
          <w:rFonts w:cs="Arial"/>
          <w:sz w:val="24"/>
          <w:szCs w:val="24"/>
          <w:lang w:val="fr-BE"/>
        </w:rPr>
        <w:t xml:space="preserve"> P. Effets cérébraux du </w:t>
      </w:r>
      <w:proofErr w:type="spellStart"/>
      <w:r w:rsidRPr="00D333A9">
        <w:rPr>
          <w:rFonts w:cs="Arial"/>
          <w:sz w:val="24"/>
          <w:szCs w:val="24"/>
          <w:lang w:val="fr-BE"/>
        </w:rPr>
        <w:t>binge</w:t>
      </w:r>
      <w:proofErr w:type="spellEnd"/>
      <w:r w:rsidRPr="00D333A9">
        <w:rPr>
          <w:rFonts w:cs="Arial"/>
          <w:sz w:val="24"/>
          <w:szCs w:val="24"/>
          <w:lang w:val="fr-BE"/>
        </w:rPr>
        <w:t xml:space="preserve"> </w:t>
      </w:r>
      <w:proofErr w:type="spellStart"/>
      <w:r w:rsidRPr="00D333A9">
        <w:rPr>
          <w:rFonts w:cs="Arial"/>
          <w:sz w:val="24"/>
          <w:szCs w:val="24"/>
          <w:lang w:val="fr-BE"/>
        </w:rPr>
        <w:t>drinking</w:t>
      </w:r>
      <w:proofErr w:type="spellEnd"/>
      <w:r w:rsidRPr="00D333A9">
        <w:rPr>
          <w:rFonts w:cs="Arial"/>
          <w:sz w:val="24"/>
          <w:szCs w:val="24"/>
          <w:lang w:val="fr-BE"/>
        </w:rPr>
        <w:t xml:space="preserve"> chez les jeunes : l’éclairage des neurosciences, Neuropsychiatrie de l’Enfance et de l’Adolescence 2014;62(3):177-85.</w:t>
      </w:r>
    </w:p>
    <w:p w:rsidR="00934E92" w:rsidRPr="00D333A9" w:rsidRDefault="00934E92" w:rsidP="00B77FA8">
      <w:pPr>
        <w:autoSpaceDE w:val="0"/>
        <w:autoSpaceDN w:val="0"/>
        <w:adjustRightInd w:val="0"/>
        <w:rPr>
          <w:rFonts w:cs="Arial"/>
          <w:sz w:val="24"/>
          <w:szCs w:val="24"/>
          <w:lang w:val="fr-BE"/>
        </w:rPr>
      </w:pPr>
    </w:p>
    <w:p w:rsidR="00934E92" w:rsidRPr="00D333A9" w:rsidRDefault="00934E92" w:rsidP="00B77FA8">
      <w:pPr>
        <w:autoSpaceDE w:val="0"/>
        <w:autoSpaceDN w:val="0"/>
        <w:adjustRightInd w:val="0"/>
        <w:rPr>
          <w:rFonts w:cs="Arial"/>
          <w:sz w:val="24"/>
          <w:szCs w:val="24"/>
          <w:lang w:val="nl-NL"/>
        </w:rPr>
      </w:pPr>
      <w:r w:rsidRPr="00D333A9">
        <w:rPr>
          <w:rFonts w:cs="Arial"/>
          <w:sz w:val="24"/>
          <w:szCs w:val="24"/>
          <w:lang w:val="fr-BE"/>
        </w:rPr>
        <w:t xml:space="preserve">McClure AC, </w:t>
      </w:r>
      <w:proofErr w:type="spellStart"/>
      <w:r w:rsidRPr="00D333A9">
        <w:rPr>
          <w:rFonts w:cs="Arial"/>
          <w:sz w:val="24"/>
          <w:szCs w:val="24"/>
          <w:lang w:val="fr-BE"/>
        </w:rPr>
        <w:t>Stoolmiller</w:t>
      </w:r>
      <w:proofErr w:type="spellEnd"/>
      <w:r w:rsidRPr="00D333A9">
        <w:rPr>
          <w:rFonts w:cs="Arial"/>
          <w:sz w:val="24"/>
          <w:szCs w:val="24"/>
          <w:lang w:val="fr-BE"/>
        </w:rPr>
        <w:t xml:space="preserve"> M, </w:t>
      </w:r>
      <w:proofErr w:type="spellStart"/>
      <w:r w:rsidRPr="00D333A9">
        <w:rPr>
          <w:rFonts w:cs="Arial"/>
          <w:sz w:val="24"/>
          <w:szCs w:val="24"/>
          <w:lang w:val="fr-BE"/>
        </w:rPr>
        <w:t>Tanski</w:t>
      </w:r>
      <w:proofErr w:type="spellEnd"/>
      <w:r w:rsidRPr="00D333A9">
        <w:rPr>
          <w:rFonts w:cs="Arial"/>
          <w:sz w:val="24"/>
          <w:szCs w:val="24"/>
          <w:lang w:val="fr-BE"/>
        </w:rPr>
        <w:t xml:space="preserve"> SE, Engels RC, Sargent JD. </w:t>
      </w:r>
      <w:r w:rsidRPr="00D333A9">
        <w:rPr>
          <w:rFonts w:cs="Arial"/>
          <w:sz w:val="24"/>
          <w:szCs w:val="24"/>
        </w:rPr>
        <w:t xml:space="preserve">Alcohol marketing receptivity, marketing-specific cognitions, and underage binge drinking. </w:t>
      </w:r>
      <w:r w:rsidRPr="00D333A9">
        <w:rPr>
          <w:rFonts w:cs="Arial"/>
          <w:sz w:val="24"/>
          <w:szCs w:val="24"/>
          <w:lang w:val="nl-NL"/>
        </w:rPr>
        <w:t xml:space="preserve">Alcohol </w:t>
      </w:r>
      <w:proofErr w:type="spellStart"/>
      <w:r w:rsidRPr="00D333A9">
        <w:rPr>
          <w:rFonts w:cs="Arial"/>
          <w:sz w:val="24"/>
          <w:szCs w:val="24"/>
          <w:lang w:val="nl-NL"/>
        </w:rPr>
        <w:t>Clin</w:t>
      </w:r>
      <w:proofErr w:type="spellEnd"/>
      <w:r w:rsidRPr="00D333A9">
        <w:rPr>
          <w:rFonts w:cs="Arial"/>
          <w:sz w:val="24"/>
          <w:szCs w:val="24"/>
          <w:lang w:val="nl-NL"/>
        </w:rPr>
        <w:t xml:space="preserve"> </w:t>
      </w:r>
      <w:proofErr w:type="spellStart"/>
      <w:r w:rsidRPr="00D333A9">
        <w:rPr>
          <w:rFonts w:cs="Arial"/>
          <w:sz w:val="24"/>
          <w:szCs w:val="24"/>
          <w:lang w:val="nl-NL"/>
        </w:rPr>
        <w:t>Exp</w:t>
      </w:r>
      <w:proofErr w:type="spellEnd"/>
      <w:r w:rsidRPr="00D333A9">
        <w:rPr>
          <w:rFonts w:cs="Arial"/>
          <w:sz w:val="24"/>
          <w:szCs w:val="24"/>
          <w:lang w:val="nl-NL"/>
        </w:rPr>
        <w:t xml:space="preserve"> </w:t>
      </w:r>
      <w:proofErr w:type="spellStart"/>
      <w:r w:rsidRPr="00D333A9">
        <w:rPr>
          <w:rFonts w:cs="Arial"/>
          <w:sz w:val="24"/>
          <w:szCs w:val="24"/>
          <w:lang w:val="nl-NL"/>
        </w:rPr>
        <w:t>Res</w:t>
      </w:r>
      <w:proofErr w:type="spellEnd"/>
      <w:r w:rsidRPr="00D333A9">
        <w:rPr>
          <w:rFonts w:cs="Arial"/>
          <w:sz w:val="24"/>
          <w:szCs w:val="24"/>
          <w:lang w:val="nl-NL"/>
        </w:rPr>
        <w:t xml:space="preserve"> 2013;37 </w:t>
      </w:r>
      <w:proofErr w:type="spellStart"/>
      <w:r w:rsidRPr="00D333A9">
        <w:rPr>
          <w:rFonts w:cs="Arial"/>
          <w:sz w:val="24"/>
          <w:szCs w:val="24"/>
          <w:lang w:val="nl-NL"/>
        </w:rPr>
        <w:t>Suppl</w:t>
      </w:r>
      <w:proofErr w:type="spellEnd"/>
      <w:r w:rsidRPr="00D333A9">
        <w:rPr>
          <w:rFonts w:cs="Arial"/>
          <w:sz w:val="24"/>
          <w:szCs w:val="24"/>
          <w:lang w:val="nl-NL"/>
        </w:rPr>
        <w:t xml:space="preserve"> </w:t>
      </w:r>
      <w:proofErr w:type="gramStart"/>
      <w:r w:rsidRPr="00D333A9">
        <w:rPr>
          <w:rFonts w:cs="Arial"/>
          <w:sz w:val="24"/>
          <w:szCs w:val="24"/>
          <w:lang w:val="nl-NL"/>
        </w:rPr>
        <w:t>1:E</w:t>
      </w:r>
      <w:proofErr w:type="gramEnd"/>
      <w:r w:rsidRPr="00D333A9">
        <w:rPr>
          <w:rFonts w:cs="Arial"/>
          <w:sz w:val="24"/>
          <w:szCs w:val="24"/>
          <w:lang w:val="nl-NL"/>
        </w:rPr>
        <w:t>404-13.</w:t>
      </w:r>
    </w:p>
    <w:p w:rsidR="00934E92" w:rsidRPr="00D333A9" w:rsidRDefault="00934E92" w:rsidP="00A85CA5">
      <w:pPr>
        <w:autoSpaceDE w:val="0"/>
        <w:autoSpaceDN w:val="0"/>
        <w:adjustRightInd w:val="0"/>
        <w:rPr>
          <w:rFonts w:cs="Arial"/>
          <w:sz w:val="24"/>
          <w:szCs w:val="24"/>
          <w:lang w:val="nl-NL"/>
        </w:rPr>
      </w:pPr>
    </w:p>
    <w:p w:rsidR="002D4FB9" w:rsidRDefault="00934E92" w:rsidP="002D4FB9">
      <w:pPr>
        <w:autoSpaceDE w:val="0"/>
        <w:autoSpaceDN w:val="0"/>
        <w:adjustRightInd w:val="0"/>
        <w:jc w:val="left"/>
        <w:rPr>
          <w:rFonts w:cs="Arial"/>
          <w:sz w:val="24"/>
          <w:szCs w:val="24"/>
          <w:lang w:val="nl-NL"/>
        </w:rPr>
      </w:pPr>
      <w:proofErr w:type="spellStart"/>
      <w:r w:rsidRPr="00D333A9">
        <w:rPr>
          <w:rFonts w:cs="Arial"/>
          <w:sz w:val="24"/>
          <w:szCs w:val="24"/>
          <w:lang w:val="nl-NL"/>
        </w:rPr>
        <w:t>Meesmann</w:t>
      </w:r>
      <w:proofErr w:type="spellEnd"/>
      <w:r w:rsidRPr="00D333A9">
        <w:rPr>
          <w:rFonts w:cs="Arial"/>
          <w:sz w:val="24"/>
          <w:szCs w:val="24"/>
          <w:lang w:val="nl-NL"/>
        </w:rPr>
        <w:t xml:space="preserve"> U, </w:t>
      </w:r>
      <w:proofErr w:type="spellStart"/>
      <w:r w:rsidRPr="00D333A9">
        <w:rPr>
          <w:rFonts w:cs="Arial"/>
          <w:sz w:val="24"/>
          <w:szCs w:val="24"/>
          <w:lang w:val="nl-NL"/>
        </w:rPr>
        <w:t>Boets</w:t>
      </w:r>
      <w:proofErr w:type="spellEnd"/>
      <w:r w:rsidRPr="00D333A9">
        <w:rPr>
          <w:rFonts w:cs="Arial"/>
          <w:sz w:val="24"/>
          <w:szCs w:val="24"/>
          <w:lang w:val="nl-NL"/>
        </w:rPr>
        <w:t xml:space="preserve"> S. Rijden onder invloed van alcohol en drugs Resultaten van de driejaarlijkse attitudemeting over verkeersveiligheid van het BIVV 2014. Brussel, België: Belgisch Instituut voor de Verkeersveiligheid – Kenniscentrum Verkeersveiligheid. </w:t>
      </w:r>
    </w:p>
    <w:p w:rsidR="00934E92" w:rsidRPr="00FD0D1A" w:rsidRDefault="002D4FB9" w:rsidP="002D4FB9">
      <w:pPr>
        <w:autoSpaceDE w:val="0"/>
        <w:autoSpaceDN w:val="0"/>
        <w:adjustRightInd w:val="0"/>
        <w:jc w:val="left"/>
        <w:rPr>
          <w:rFonts w:cs="Arial"/>
          <w:sz w:val="24"/>
          <w:szCs w:val="24"/>
          <w:lang w:val="nl-NL"/>
        </w:rPr>
      </w:pPr>
      <w:r>
        <w:rPr>
          <w:rFonts w:cs="Arial"/>
          <w:sz w:val="24"/>
          <w:szCs w:val="24"/>
          <w:lang w:val="nl-NL"/>
        </w:rPr>
        <w:t>Internet:</w:t>
      </w:r>
      <w:hyperlink r:id="rId20" w:history="1">
        <w:r w:rsidR="00934E92" w:rsidRPr="00FD0D1A">
          <w:rPr>
            <w:sz w:val="24"/>
            <w:szCs w:val="24"/>
            <w:lang w:val="nl-NL"/>
          </w:rPr>
          <w:t>http://www.vias.be/publications/Rijden%20onder%20invloed%20van%20alcohol%20en%20drugs/Rijden%20onder%20invloed%20van%20alcohol%20en%20drugs%20-%20Attitudemeting%20over%20verkeersveiligheid.pdf</w:t>
        </w:r>
      </w:hyperlink>
    </w:p>
    <w:p w:rsidR="00934E92" w:rsidRPr="00D333A9" w:rsidRDefault="00934E92" w:rsidP="00B757A7">
      <w:pPr>
        <w:autoSpaceDE w:val="0"/>
        <w:autoSpaceDN w:val="0"/>
        <w:adjustRightInd w:val="0"/>
        <w:rPr>
          <w:rFonts w:cs="Arial"/>
          <w:sz w:val="24"/>
          <w:szCs w:val="24"/>
          <w:lang w:val="nl-NL"/>
        </w:rPr>
      </w:pPr>
    </w:p>
    <w:p w:rsidR="00934E92" w:rsidRPr="005D32D9" w:rsidRDefault="00934E92" w:rsidP="00B757A7">
      <w:pPr>
        <w:autoSpaceDE w:val="0"/>
        <w:autoSpaceDN w:val="0"/>
        <w:adjustRightInd w:val="0"/>
        <w:rPr>
          <w:rFonts w:cs="Arial"/>
          <w:sz w:val="24"/>
          <w:szCs w:val="24"/>
          <w:lang w:val="nl-NL"/>
        </w:rPr>
      </w:pPr>
      <w:r w:rsidRPr="00D333A9">
        <w:rPr>
          <w:rFonts w:cs="Arial"/>
          <w:sz w:val="24"/>
          <w:szCs w:val="24"/>
        </w:rPr>
        <w:t xml:space="preserve">Meier PS, Holmes J, Angus C, Ally AK, Meng Y, Brennan A. Estimated Effects of Different Alcohol Taxation and Price Policies on Health Inequalities: A Mathematical Modelling Study. </w:t>
      </w:r>
      <w:r w:rsidRPr="005D32D9">
        <w:rPr>
          <w:rFonts w:cs="Arial"/>
          <w:sz w:val="24"/>
          <w:szCs w:val="24"/>
          <w:lang w:val="nl-NL"/>
        </w:rPr>
        <w:t>PLoS Med 2016;13(2):e1001963.</w:t>
      </w:r>
    </w:p>
    <w:p w:rsidR="00934E92" w:rsidRPr="005D32D9" w:rsidRDefault="00934E92" w:rsidP="00A85CA5">
      <w:pPr>
        <w:autoSpaceDE w:val="0"/>
        <w:autoSpaceDN w:val="0"/>
        <w:adjustRightInd w:val="0"/>
        <w:rPr>
          <w:rFonts w:cs="Arial"/>
          <w:sz w:val="24"/>
          <w:szCs w:val="24"/>
          <w:lang w:val="nl-NL"/>
        </w:rPr>
      </w:pPr>
    </w:p>
    <w:p w:rsidR="00934E92" w:rsidRPr="00D333A9" w:rsidRDefault="00934E92" w:rsidP="00A85CA5">
      <w:pPr>
        <w:autoSpaceDE w:val="0"/>
        <w:autoSpaceDN w:val="0"/>
        <w:adjustRightInd w:val="0"/>
        <w:rPr>
          <w:rFonts w:cs="Arial"/>
          <w:sz w:val="24"/>
          <w:szCs w:val="24"/>
          <w:lang w:val="nl-NL"/>
        </w:rPr>
      </w:pPr>
      <w:r w:rsidRPr="005D32D9">
        <w:rPr>
          <w:rFonts w:cs="Arial"/>
          <w:sz w:val="24"/>
          <w:szCs w:val="24"/>
          <w:lang w:val="nl-NL"/>
        </w:rPr>
        <w:t xml:space="preserve">Mistiaen P, Kohn L, Mambourg F, Ketterer F, Tiedtke C, Lambrechts MC et al. </w:t>
      </w:r>
      <w:r w:rsidRPr="00D333A9">
        <w:rPr>
          <w:rFonts w:cs="Arial"/>
          <w:sz w:val="24"/>
          <w:szCs w:val="24"/>
        </w:rPr>
        <w:t xml:space="preserve">Reduction of the treatment gap for problematic alcohol use in Belgium. Health Services Research (HSR) Brussels: KCE - Belgian Health Care Knowledge Centre. </w:t>
      </w:r>
      <w:r w:rsidRPr="00D333A9">
        <w:rPr>
          <w:rFonts w:cs="Arial"/>
          <w:sz w:val="24"/>
          <w:szCs w:val="24"/>
          <w:lang w:val="nl-NL"/>
        </w:rPr>
        <w:t xml:space="preserve">KCE </w:t>
      </w:r>
      <w:proofErr w:type="spellStart"/>
      <w:r w:rsidRPr="00D333A9">
        <w:rPr>
          <w:rFonts w:cs="Arial"/>
          <w:sz w:val="24"/>
          <w:szCs w:val="24"/>
          <w:lang w:val="nl-NL"/>
        </w:rPr>
        <w:t>Reports</w:t>
      </w:r>
      <w:proofErr w:type="spellEnd"/>
      <w:r w:rsidRPr="00D333A9">
        <w:rPr>
          <w:rFonts w:cs="Arial"/>
          <w:sz w:val="24"/>
          <w:szCs w:val="24"/>
          <w:lang w:val="nl-NL"/>
        </w:rPr>
        <w:t xml:space="preserve"> 258. D/2015/10.273/116; 2015.</w:t>
      </w:r>
    </w:p>
    <w:p w:rsidR="00934E92" w:rsidRPr="00D333A9" w:rsidRDefault="00934E92" w:rsidP="00934E92">
      <w:pPr>
        <w:autoSpaceDE w:val="0"/>
        <w:autoSpaceDN w:val="0"/>
        <w:adjustRightInd w:val="0"/>
        <w:rPr>
          <w:rFonts w:cs="Arial"/>
          <w:sz w:val="24"/>
          <w:szCs w:val="24"/>
          <w:lang w:val="nl-NL"/>
        </w:rPr>
      </w:pPr>
    </w:p>
    <w:p w:rsidR="00934E92" w:rsidRPr="00D333A9" w:rsidRDefault="00934E92" w:rsidP="00934E92">
      <w:pPr>
        <w:autoSpaceDE w:val="0"/>
        <w:autoSpaceDN w:val="0"/>
        <w:adjustRightInd w:val="0"/>
        <w:rPr>
          <w:rFonts w:cs="Arial"/>
          <w:sz w:val="24"/>
          <w:szCs w:val="24"/>
        </w:rPr>
      </w:pPr>
      <w:r w:rsidRPr="00D333A9">
        <w:rPr>
          <w:rFonts w:cs="Arial"/>
          <w:sz w:val="24"/>
          <w:szCs w:val="24"/>
          <w:lang w:val="nl-NL"/>
        </w:rPr>
        <w:t xml:space="preserve">Möbius D, De Donder E.  VAD - Vlaams expertisecentrum Alcohol en andere Drugs.  </w:t>
      </w:r>
      <w:r w:rsidRPr="00D333A9">
        <w:rPr>
          <w:rFonts w:cs="Arial"/>
          <w:sz w:val="24"/>
          <w:szCs w:val="24"/>
        </w:rPr>
        <w:t>Factsheet alcohol. Brussel; 2017.</w:t>
      </w:r>
    </w:p>
    <w:p w:rsidR="00DF5F04" w:rsidRPr="00D333A9" w:rsidRDefault="00DF5F04" w:rsidP="00934E92">
      <w:pPr>
        <w:autoSpaceDE w:val="0"/>
        <w:autoSpaceDN w:val="0"/>
        <w:adjustRightInd w:val="0"/>
        <w:rPr>
          <w:rFonts w:cs="Arial"/>
          <w:sz w:val="24"/>
          <w:szCs w:val="24"/>
        </w:rPr>
      </w:pPr>
    </w:p>
    <w:p w:rsidR="00DF5F04" w:rsidRPr="00D333A9" w:rsidRDefault="00DF5F04" w:rsidP="00DF5F04">
      <w:pPr>
        <w:rPr>
          <w:rFonts w:cs="Arial"/>
          <w:sz w:val="24"/>
          <w:szCs w:val="24"/>
        </w:rPr>
      </w:pPr>
      <w:proofErr w:type="spellStart"/>
      <w:r w:rsidRPr="00D333A9">
        <w:rPr>
          <w:rFonts w:cs="Arial"/>
          <w:sz w:val="24"/>
          <w:szCs w:val="24"/>
        </w:rPr>
        <w:t>Mongan</w:t>
      </w:r>
      <w:proofErr w:type="spellEnd"/>
      <w:r w:rsidRPr="00D333A9">
        <w:rPr>
          <w:rFonts w:cs="Arial"/>
          <w:sz w:val="24"/>
          <w:szCs w:val="24"/>
        </w:rPr>
        <w:t xml:space="preserve">, D., &amp; Long, J. (2015). Standard drink measures throughout Europe; </w:t>
      </w:r>
      <w:proofErr w:type="spellStart"/>
      <w:r w:rsidRPr="00D333A9">
        <w:rPr>
          <w:rFonts w:cs="Arial"/>
          <w:sz w:val="24"/>
          <w:szCs w:val="24"/>
        </w:rPr>
        <w:t>peoples’understanding</w:t>
      </w:r>
      <w:proofErr w:type="spellEnd"/>
      <w:r w:rsidRPr="00D333A9">
        <w:rPr>
          <w:rFonts w:cs="Arial"/>
          <w:sz w:val="24"/>
          <w:szCs w:val="24"/>
        </w:rPr>
        <w:t xml:space="preserve"> of standard drinks and their use in drinking guidelines, alcohol surveys and labelling. </w:t>
      </w:r>
    </w:p>
    <w:p w:rsidR="00DF5F04" w:rsidRPr="00D333A9" w:rsidRDefault="00DF5F04" w:rsidP="002D4FB9">
      <w:pPr>
        <w:jc w:val="left"/>
        <w:rPr>
          <w:rFonts w:cs="Arial"/>
          <w:sz w:val="24"/>
          <w:szCs w:val="24"/>
        </w:rPr>
      </w:pPr>
      <w:r w:rsidRPr="00D333A9">
        <w:rPr>
          <w:rFonts w:cs="Arial"/>
          <w:sz w:val="24"/>
          <w:szCs w:val="24"/>
        </w:rPr>
        <w:t>R</w:t>
      </w:r>
      <w:r w:rsidR="002D4FB9">
        <w:rPr>
          <w:rFonts w:cs="Arial"/>
          <w:sz w:val="24"/>
          <w:szCs w:val="24"/>
        </w:rPr>
        <w:t xml:space="preserve">etrieved from </w:t>
      </w:r>
      <w:r w:rsidRPr="00D333A9">
        <w:rPr>
          <w:rFonts w:cs="Arial"/>
          <w:sz w:val="24"/>
          <w:szCs w:val="24"/>
        </w:rPr>
        <w:t>http://www.rarha.eu/Resources/Deliverables/Lists/Deliverables/Attachments/14/WP5%20Background%20paper%20Standard%20drink%20measures%20HRB.pdf</w:t>
      </w:r>
    </w:p>
    <w:p w:rsidR="00DF5F04" w:rsidRPr="00D333A9" w:rsidRDefault="00DF5F04" w:rsidP="00934E92">
      <w:pPr>
        <w:autoSpaceDE w:val="0"/>
        <w:autoSpaceDN w:val="0"/>
        <w:adjustRightInd w:val="0"/>
        <w:rPr>
          <w:rFonts w:cs="Arial"/>
          <w:sz w:val="24"/>
          <w:szCs w:val="24"/>
        </w:rPr>
      </w:pPr>
    </w:p>
    <w:p w:rsidR="00B301AF" w:rsidRPr="00D333A9" w:rsidRDefault="00B301AF" w:rsidP="00A85CA5">
      <w:pPr>
        <w:autoSpaceDE w:val="0"/>
        <w:autoSpaceDN w:val="0"/>
        <w:adjustRightInd w:val="0"/>
        <w:rPr>
          <w:rFonts w:cs="Arial"/>
          <w:sz w:val="24"/>
          <w:szCs w:val="24"/>
          <w:lang w:val="fr-BE"/>
        </w:rPr>
      </w:pPr>
      <w:proofErr w:type="spellStart"/>
      <w:r w:rsidRPr="00D333A9">
        <w:rPr>
          <w:rFonts w:cs="Arial"/>
          <w:sz w:val="24"/>
          <w:szCs w:val="24"/>
          <w:lang w:val="nl-NL"/>
        </w:rPr>
        <w:t>Naassila</w:t>
      </w:r>
      <w:proofErr w:type="spellEnd"/>
      <w:r w:rsidRPr="00D333A9">
        <w:rPr>
          <w:rFonts w:cs="Arial"/>
          <w:sz w:val="24"/>
          <w:szCs w:val="24"/>
          <w:lang w:val="nl-NL"/>
        </w:rPr>
        <w:t xml:space="preserve">, M. Le </w:t>
      </w:r>
      <w:proofErr w:type="spellStart"/>
      <w:r w:rsidRPr="00D333A9">
        <w:rPr>
          <w:rFonts w:cs="Arial"/>
          <w:sz w:val="24"/>
          <w:szCs w:val="24"/>
          <w:lang w:val="nl-NL"/>
        </w:rPr>
        <w:t>binge</w:t>
      </w:r>
      <w:proofErr w:type="spellEnd"/>
      <w:r w:rsidRPr="00D333A9">
        <w:rPr>
          <w:rFonts w:cs="Arial"/>
          <w:sz w:val="24"/>
          <w:szCs w:val="24"/>
          <w:lang w:val="nl-NL"/>
        </w:rPr>
        <w:t xml:space="preserve"> drinking. </w:t>
      </w:r>
      <w:r w:rsidRPr="00D333A9">
        <w:rPr>
          <w:rFonts w:cs="Arial"/>
          <w:sz w:val="24"/>
          <w:szCs w:val="24"/>
          <w:lang w:val="fr-BE"/>
        </w:rPr>
        <w:t xml:space="preserve">Toujours aussi problématique et pas de solutions en vue, un peu de courage ! Alcoologie et addictologie. 2018 ; 40 (1) : 3-5. </w:t>
      </w:r>
    </w:p>
    <w:p w:rsidR="007F1AAF" w:rsidRPr="00D333A9" w:rsidRDefault="007F1AAF" w:rsidP="00A85CA5">
      <w:pPr>
        <w:autoSpaceDE w:val="0"/>
        <w:autoSpaceDN w:val="0"/>
        <w:adjustRightInd w:val="0"/>
        <w:rPr>
          <w:rFonts w:cs="Arial"/>
          <w:sz w:val="24"/>
          <w:szCs w:val="24"/>
          <w:lang w:val="fr-BE"/>
        </w:rPr>
      </w:pPr>
    </w:p>
    <w:p w:rsidR="00934E92" w:rsidRPr="00D333A9" w:rsidRDefault="00934E92" w:rsidP="00A85CA5">
      <w:pPr>
        <w:autoSpaceDE w:val="0"/>
        <w:autoSpaceDN w:val="0"/>
        <w:adjustRightInd w:val="0"/>
        <w:rPr>
          <w:lang w:val="fr-BE"/>
        </w:rPr>
      </w:pPr>
      <w:r w:rsidRPr="00D333A9">
        <w:rPr>
          <w:rFonts w:cs="Arial"/>
          <w:sz w:val="24"/>
          <w:szCs w:val="24"/>
          <w:lang w:val="fr-BE"/>
        </w:rPr>
        <w:t xml:space="preserve">NIAAA  - National Institute  on </w:t>
      </w:r>
      <w:proofErr w:type="spellStart"/>
      <w:r w:rsidRPr="00D333A9">
        <w:rPr>
          <w:rFonts w:cs="Arial"/>
          <w:sz w:val="24"/>
          <w:szCs w:val="24"/>
          <w:lang w:val="fr-BE"/>
        </w:rPr>
        <w:t>Alcohol</w:t>
      </w:r>
      <w:proofErr w:type="spellEnd"/>
      <w:r w:rsidRPr="00D333A9">
        <w:rPr>
          <w:rFonts w:cs="Arial"/>
          <w:sz w:val="24"/>
          <w:szCs w:val="24"/>
          <w:lang w:val="fr-BE"/>
        </w:rPr>
        <w:t xml:space="preserve"> Abuse and </w:t>
      </w:r>
      <w:proofErr w:type="spellStart"/>
      <w:r w:rsidRPr="00D333A9">
        <w:rPr>
          <w:rFonts w:cs="Arial"/>
          <w:sz w:val="24"/>
          <w:szCs w:val="24"/>
          <w:lang w:val="fr-BE"/>
        </w:rPr>
        <w:t>Alcoholism</w:t>
      </w:r>
      <w:proofErr w:type="spellEnd"/>
      <w:r w:rsidRPr="00D333A9">
        <w:rPr>
          <w:rFonts w:cs="Arial"/>
          <w:sz w:val="24"/>
          <w:szCs w:val="24"/>
          <w:lang w:val="fr-BE"/>
        </w:rPr>
        <w:t xml:space="preserve">.  </w:t>
      </w:r>
      <w:proofErr w:type="spellStart"/>
      <w:r w:rsidRPr="00D333A9">
        <w:rPr>
          <w:rFonts w:cs="Arial"/>
          <w:sz w:val="24"/>
          <w:szCs w:val="24"/>
          <w:lang w:val="fr-BE"/>
        </w:rPr>
        <w:t>Alcohol</w:t>
      </w:r>
      <w:proofErr w:type="spellEnd"/>
      <w:r w:rsidRPr="00D333A9">
        <w:rPr>
          <w:rFonts w:cs="Arial"/>
          <w:sz w:val="24"/>
          <w:szCs w:val="24"/>
          <w:lang w:val="fr-BE"/>
        </w:rPr>
        <w:t xml:space="preserve"> Use </w:t>
      </w:r>
      <w:proofErr w:type="spellStart"/>
      <w:r w:rsidRPr="00D333A9">
        <w:rPr>
          <w:rFonts w:cs="Arial"/>
          <w:sz w:val="24"/>
          <w:szCs w:val="24"/>
          <w:lang w:val="fr-BE"/>
        </w:rPr>
        <w:t>Disorder</w:t>
      </w:r>
      <w:proofErr w:type="spellEnd"/>
      <w:r w:rsidRPr="00D333A9">
        <w:rPr>
          <w:rFonts w:cs="Arial"/>
          <w:sz w:val="24"/>
          <w:szCs w:val="24"/>
          <w:lang w:val="fr-BE"/>
        </w:rPr>
        <w:t xml:space="preserve"> 2017; USA. Internet:  </w:t>
      </w:r>
      <w:hyperlink r:id="rId21" w:history="1">
        <w:r w:rsidRPr="00D333A9">
          <w:rPr>
            <w:lang w:val="fr-BE"/>
          </w:rPr>
          <w:t>https://www.niaaa.nih.gov/alcohol-health/overview-alcohol-consumption/alcohol-use-disorders</w:t>
        </w:r>
      </w:hyperlink>
    </w:p>
    <w:p w:rsidR="007F1AAF" w:rsidRPr="00D333A9" w:rsidRDefault="007F1AAF" w:rsidP="00F97649">
      <w:pPr>
        <w:autoSpaceDE w:val="0"/>
        <w:autoSpaceDN w:val="0"/>
        <w:adjustRightInd w:val="0"/>
        <w:jc w:val="left"/>
        <w:rPr>
          <w:rFonts w:cs="Arial"/>
          <w:sz w:val="24"/>
          <w:szCs w:val="24"/>
          <w:lang w:val="fr-BE"/>
        </w:rPr>
      </w:pPr>
    </w:p>
    <w:p w:rsidR="007F1AAF" w:rsidRPr="00D333A9" w:rsidRDefault="007F1AAF" w:rsidP="00F97649">
      <w:pPr>
        <w:tabs>
          <w:tab w:val="left" w:pos="0"/>
        </w:tabs>
        <w:autoSpaceDE w:val="0"/>
        <w:autoSpaceDN w:val="0"/>
        <w:adjustRightInd w:val="0"/>
        <w:jc w:val="left"/>
        <w:rPr>
          <w:rFonts w:cs="Arial"/>
          <w:bCs/>
          <w:sz w:val="24"/>
          <w:szCs w:val="24"/>
          <w:lang w:val="fr-BE"/>
        </w:rPr>
      </w:pPr>
      <w:r w:rsidRPr="00D333A9">
        <w:rPr>
          <w:rFonts w:cs="Arial"/>
          <w:sz w:val="24"/>
          <w:szCs w:val="24"/>
          <w:lang w:val="fr-BE"/>
        </w:rPr>
        <w:t>OCDE. 2015. Lutter contre la consommation nocive d'alcool. Politiques économiques et de santé publique</w:t>
      </w:r>
    </w:p>
    <w:p w:rsidR="007F1AAF" w:rsidRPr="00D333A9" w:rsidRDefault="007F1AAF" w:rsidP="00A85CA5">
      <w:pPr>
        <w:autoSpaceDE w:val="0"/>
        <w:autoSpaceDN w:val="0"/>
        <w:adjustRightInd w:val="0"/>
        <w:rPr>
          <w:rFonts w:cs="Arial"/>
          <w:sz w:val="24"/>
          <w:szCs w:val="24"/>
          <w:lang w:val="fr-BE"/>
        </w:rPr>
      </w:pPr>
    </w:p>
    <w:p w:rsidR="00934E92" w:rsidRPr="00D333A9" w:rsidRDefault="00934E92" w:rsidP="00B757A7">
      <w:pPr>
        <w:autoSpaceDE w:val="0"/>
        <w:autoSpaceDN w:val="0"/>
        <w:adjustRightInd w:val="0"/>
        <w:rPr>
          <w:rFonts w:cs="Arial"/>
          <w:sz w:val="24"/>
          <w:szCs w:val="24"/>
        </w:rPr>
      </w:pPr>
      <w:proofErr w:type="spellStart"/>
      <w:r w:rsidRPr="00D333A9">
        <w:rPr>
          <w:rFonts w:cs="Arial"/>
          <w:sz w:val="24"/>
          <w:szCs w:val="24"/>
          <w:lang w:val="nl-NL"/>
        </w:rPr>
        <w:t>Patra</w:t>
      </w:r>
      <w:proofErr w:type="spellEnd"/>
      <w:r w:rsidRPr="00D333A9">
        <w:rPr>
          <w:rFonts w:cs="Arial"/>
          <w:sz w:val="24"/>
          <w:szCs w:val="24"/>
          <w:lang w:val="nl-NL"/>
        </w:rPr>
        <w:t xml:space="preserve"> J, Taylor B, Irving H, </w:t>
      </w:r>
      <w:proofErr w:type="spellStart"/>
      <w:r w:rsidRPr="00D333A9">
        <w:rPr>
          <w:rFonts w:cs="Arial"/>
          <w:sz w:val="24"/>
          <w:szCs w:val="24"/>
          <w:lang w:val="nl-NL"/>
        </w:rPr>
        <w:t>Roerecke</w:t>
      </w:r>
      <w:proofErr w:type="spellEnd"/>
      <w:r w:rsidRPr="00D333A9">
        <w:rPr>
          <w:rFonts w:cs="Arial"/>
          <w:sz w:val="24"/>
          <w:szCs w:val="24"/>
          <w:lang w:val="nl-NL"/>
        </w:rPr>
        <w:t xml:space="preserve"> M, </w:t>
      </w:r>
      <w:proofErr w:type="spellStart"/>
      <w:r w:rsidRPr="00D333A9">
        <w:rPr>
          <w:rFonts w:cs="Arial"/>
          <w:sz w:val="24"/>
          <w:szCs w:val="24"/>
          <w:lang w:val="nl-NL"/>
        </w:rPr>
        <w:t>Baliunas</w:t>
      </w:r>
      <w:proofErr w:type="spellEnd"/>
      <w:r w:rsidRPr="00D333A9">
        <w:rPr>
          <w:rFonts w:cs="Arial"/>
          <w:sz w:val="24"/>
          <w:szCs w:val="24"/>
          <w:lang w:val="nl-NL"/>
        </w:rPr>
        <w:t xml:space="preserve"> D, </w:t>
      </w:r>
      <w:proofErr w:type="spellStart"/>
      <w:r w:rsidRPr="00D333A9">
        <w:rPr>
          <w:rFonts w:cs="Arial"/>
          <w:sz w:val="24"/>
          <w:szCs w:val="24"/>
          <w:lang w:val="nl-NL"/>
        </w:rPr>
        <w:t>Mohapatra</w:t>
      </w:r>
      <w:proofErr w:type="spellEnd"/>
      <w:r w:rsidRPr="00D333A9">
        <w:rPr>
          <w:rFonts w:cs="Arial"/>
          <w:sz w:val="24"/>
          <w:szCs w:val="24"/>
          <w:lang w:val="nl-NL"/>
        </w:rPr>
        <w:t xml:space="preserve"> S, et al. </w:t>
      </w:r>
      <w:r w:rsidRPr="00D333A9">
        <w:rPr>
          <w:rFonts w:cs="Arial"/>
          <w:sz w:val="24"/>
          <w:szCs w:val="24"/>
        </w:rPr>
        <w:t xml:space="preserve">Alcohol consumption and the risk of morbidity and mortality for different stroke types--a systematic review and meta-analysis. BMC Public Health </w:t>
      </w:r>
      <w:proofErr w:type="gramStart"/>
      <w:r w:rsidRPr="00D333A9">
        <w:rPr>
          <w:rFonts w:cs="Arial"/>
          <w:sz w:val="24"/>
          <w:szCs w:val="24"/>
        </w:rPr>
        <w:t>2010;10:258</w:t>
      </w:r>
      <w:proofErr w:type="gramEnd"/>
      <w:r w:rsidRPr="00D333A9">
        <w:rPr>
          <w:rFonts w:cs="Arial"/>
          <w:sz w:val="24"/>
          <w:szCs w:val="24"/>
        </w:rPr>
        <w:t>.</w:t>
      </w:r>
    </w:p>
    <w:p w:rsidR="00934E92" w:rsidRPr="00D333A9" w:rsidRDefault="00934E92" w:rsidP="00B757A7">
      <w:pPr>
        <w:autoSpaceDE w:val="0"/>
        <w:autoSpaceDN w:val="0"/>
        <w:adjustRightInd w:val="0"/>
        <w:rPr>
          <w:rFonts w:cs="Arial"/>
          <w:sz w:val="24"/>
          <w:szCs w:val="24"/>
        </w:rPr>
      </w:pPr>
    </w:p>
    <w:p w:rsidR="00934E92" w:rsidRPr="00D333A9" w:rsidRDefault="00934E92" w:rsidP="00B757A7">
      <w:pPr>
        <w:autoSpaceDE w:val="0"/>
        <w:autoSpaceDN w:val="0"/>
        <w:adjustRightInd w:val="0"/>
        <w:rPr>
          <w:rFonts w:cs="Arial"/>
          <w:sz w:val="24"/>
          <w:szCs w:val="24"/>
        </w:rPr>
      </w:pPr>
      <w:r w:rsidRPr="00D333A9">
        <w:rPr>
          <w:rFonts w:cs="Arial"/>
          <w:sz w:val="24"/>
          <w:szCs w:val="24"/>
        </w:rPr>
        <w:t xml:space="preserve">Petit G, </w:t>
      </w:r>
      <w:proofErr w:type="spellStart"/>
      <w:r w:rsidRPr="00D333A9">
        <w:rPr>
          <w:rFonts w:cs="Arial"/>
          <w:sz w:val="24"/>
          <w:szCs w:val="24"/>
        </w:rPr>
        <w:t>Maurage</w:t>
      </w:r>
      <w:proofErr w:type="spellEnd"/>
      <w:r w:rsidRPr="00D333A9">
        <w:rPr>
          <w:rFonts w:cs="Arial"/>
          <w:sz w:val="24"/>
          <w:szCs w:val="24"/>
        </w:rPr>
        <w:t xml:space="preserve"> P, </w:t>
      </w:r>
      <w:proofErr w:type="spellStart"/>
      <w:r w:rsidRPr="00D333A9">
        <w:rPr>
          <w:rFonts w:cs="Arial"/>
          <w:sz w:val="24"/>
          <w:szCs w:val="24"/>
        </w:rPr>
        <w:t>Kornreich</w:t>
      </w:r>
      <w:proofErr w:type="spellEnd"/>
      <w:r w:rsidRPr="00D333A9">
        <w:rPr>
          <w:rFonts w:cs="Arial"/>
          <w:sz w:val="24"/>
          <w:szCs w:val="24"/>
        </w:rPr>
        <w:t xml:space="preserve"> C, </w:t>
      </w:r>
      <w:proofErr w:type="spellStart"/>
      <w:r w:rsidRPr="00D333A9">
        <w:rPr>
          <w:rFonts w:cs="Arial"/>
          <w:sz w:val="24"/>
          <w:szCs w:val="24"/>
        </w:rPr>
        <w:t>Verbanck</w:t>
      </w:r>
      <w:proofErr w:type="spellEnd"/>
      <w:r w:rsidRPr="00D333A9">
        <w:rPr>
          <w:rFonts w:cs="Arial"/>
          <w:sz w:val="24"/>
          <w:szCs w:val="24"/>
        </w:rPr>
        <w:t xml:space="preserve"> P, Campanella S. Binge drinking in adolescents: a review of neurophysiological and neuroimaging research. Alcohol </w:t>
      </w:r>
      <w:proofErr w:type="spellStart"/>
      <w:r w:rsidRPr="00D333A9">
        <w:rPr>
          <w:rFonts w:cs="Arial"/>
          <w:sz w:val="24"/>
          <w:szCs w:val="24"/>
        </w:rPr>
        <w:t>Alcohol</w:t>
      </w:r>
      <w:proofErr w:type="spellEnd"/>
      <w:r w:rsidRPr="00D333A9">
        <w:rPr>
          <w:rFonts w:cs="Arial"/>
          <w:sz w:val="24"/>
          <w:szCs w:val="24"/>
        </w:rPr>
        <w:t xml:space="preserve"> 2014;49(2):198-206.</w:t>
      </w:r>
    </w:p>
    <w:p w:rsidR="00934E92" w:rsidRPr="00D333A9" w:rsidRDefault="00934E92" w:rsidP="00B757A7">
      <w:pPr>
        <w:autoSpaceDE w:val="0"/>
        <w:autoSpaceDN w:val="0"/>
        <w:adjustRightInd w:val="0"/>
        <w:rPr>
          <w:rFonts w:cs="Arial"/>
          <w:sz w:val="24"/>
          <w:szCs w:val="24"/>
        </w:rPr>
      </w:pPr>
    </w:p>
    <w:p w:rsidR="00934E92" w:rsidRPr="00D333A9" w:rsidRDefault="00934E92" w:rsidP="00B757A7">
      <w:pPr>
        <w:autoSpaceDE w:val="0"/>
        <w:autoSpaceDN w:val="0"/>
        <w:adjustRightInd w:val="0"/>
        <w:rPr>
          <w:rFonts w:cs="Arial"/>
          <w:sz w:val="24"/>
          <w:szCs w:val="24"/>
        </w:rPr>
      </w:pPr>
      <w:r w:rsidRPr="00D333A9">
        <w:rPr>
          <w:rFonts w:cs="Arial"/>
          <w:sz w:val="24"/>
          <w:szCs w:val="24"/>
        </w:rPr>
        <w:t xml:space="preserve">Rehm J, </w:t>
      </w:r>
      <w:proofErr w:type="spellStart"/>
      <w:r w:rsidRPr="00D333A9">
        <w:rPr>
          <w:rFonts w:cs="Arial"/>
          <w:sz w:val="24"/>
          <w:szCs w:val="24"/>
        </w:rPr>
        <w:t>Baliunas</w:t>
      </w:r>
      <w:proofErr w:type="spellEnd"/>
      <w:r w:rsidRPr="00D333A9">
        <w:rPr>
          <w:rFonts w:cs="Arial"/>
          <w:sz w:val="24"/>
          <w:szCs w:val="24"/>
        </w:rPr>
        <w:t xml:space="preserve"> D, Borges GL, Graham K, Irving H, Kehoe T, et al. The relation between different dimensions of alcohol consumption and burden of disease: an overview. Addiction 2010;105(5):817-43.</w:t>
      </w:r>
    </w:p>
    <w:p w:rsidR="00934E92" w:rsidRPr="00D333A9" w:rsidRDefault="00934E92" w:rsidP="00B757A7">
      <w:pPr>
        <w:autoSpaceDE w:val="0"/>
        <w:autoSpaceDN w:val="0"/>
        <w:adjustRightInd w:val="0"/>
        <w:rPr>
          <w:rFonts w:cs="Arial"/>
          <w:sz w:val="24"/>
          <w:szCs w:val="24"/>
        </w:rPr>
      </w:pPr>
    </w:p>
    <w:p w:rsidR="00934E92" w:rsidRPr="00D333A9" w:rsidRDefault="00934E92" w:rsidP="00B757A7">
      <w:pPr>
        <w:autoSpaceDE w:val="0"/>
        <w:autoSpaceDN w:val="0"/>
        <w:adjustRightInd w:val="0"/>
        <w:rPr>
          <w:rFonts w:cs="Arial"/>
          <w:sz w:val="24"/>
          <w:szCs w:val="24"/>
        </w:rPr>
      </w:pPr>
      <w:r w:rsidRPr="00D333A9">
        <w:rPr>
          <w:rFonts w:cs="Arial"/>
          <w:sz w:val="24"/>
          <w:szCs w:val="24"/>
        </w:rPr>
        <w:t xml:space="preserve">Rehm J, Mathers C, Popova S, </w:t>
      </w:r>
      <w:proofErr w:type="spellStart"/>
      <w:r w:rsidRPr="00D333A9">
        <w:rPr>
          <w:rFonts w:cs="Arial"/>
          <w:sz w:val="24"/>
          <w:szCs w:val="24"/>
        </w:rPr>
        <w:t>Thavorncharoensap</w:t>
      </w:r>
      <w:proofErr w:type="spellEnd"/>
      <w:r w:rsidRPr="00D333A9">
        <w:rPr>
          <w:rFonts w:cs="Arial"/>
          <w:sz w:val="24"/>
          <w:szCs w:val="24"/>
        </w:rPr>
        <w:t xml:space="preserve"> M, </w:t>
      </w:r>
      <w:proofErr w:type="spellStart"/>
      <w:r w:rsidRPr="00D333A9">
        <w:rPr>
          <w:rFonts w:cs="Arial"/>
          <w:sz w:val="24"/>
          <w:szCs w:val="24"/>
        </w:rPr>
        <w:t>Teerawattananon</w:t>
      </w:r>
      <w:proofErr w:type="spellEnd"/>
      <w:r w:rsidRPr="00D333A9">
        <w:rPr>
          <w:rFonts w:cs="Arial"/>
          <w:sz w:val="24"/>
          <w:szCs w:val="24"/>
        </w:rPr>
        <w:t xml:space="preserve"> Y, Patra J. Global burden of disease and injury and economic cost attributable to alcohol use and alcohol-use disorders. Lancet 2009;373(9682):2223-33.</w:t>
      </w:r>
    </w:p>
    <w:p w:rsidR="00934E92" w:rsidRPr="00D333A9" w:rsidRDefault="00934E92" w:rsidP="00934E92">
      <w:pPr>
        <w:autoSpaceDE w:val="0"/>
        <w:autoSpaceDN w:val="0"/>
        <w:adjustRightInd w:val="0"/>
        <w:rPr>
          <w:rFonts w:cs="Arial"/>
          <w:sz w:val="24"/>
          <w:szCs w:val="24"/>
        </w:rPr>
      </w:pPr>
    </w:p>
    <w:p w:rsidR="00934E92" w:rsidRPr="00D333A9" w:rsidRDefault="00934E92" w:rsidP="00934E92">
      <w:pPr>
        <w:autoSpaceDE w:val="0"/>
        <w:autoSpaceDN w:val="0"/>
        <w:adjustRightInd w:val="0"/>
        <w:rPr>
          <w:rFonts w:cs="Arial"/>
          <w:sz w:val="24"/>
          <w:szCs w:val="24"/>
        </w:rPr>
      </w:pPr>
      <w:r w:rsidRPr="00D333A9">
        <w:rPr>
          <w:rFonts w:cs="Arial"/>
          <w:sz w:val="24"/>
          <w:szCs w:val="24"/>
        </w:rPr>
        <w:t xml:space="preserve">Rehm J, </w:t>
      </w:r>
      <w:proofErr w:type="spellStart"/>
      <w:r w:rsidRPr="00D333A9">
        <w:rPr>
          <w:rFonts w:cs="Arial"/>
          <w:sz w:val="24"/>
          <w:szCs w:val="24"/>
        </w:rPr>
        <w:t>Roerecke</w:t>
      </w:r>
      <w:proofErr w:type="spellEnd"/>
      <w:r w:rsidRPr="00D333A9">
        <w:rPr>
          <w:rFonts w:cs="Arial"/>
          <w:sz w:val="24"/>
          <w:szCs w:val="24"/>
        </w:rPr>
        <w:t xml:space="preserve"> M. Cardiovascular effects of alcohol consumption. Trends Cardiovasc Med 2017;27(8):534-8.</w:t>
      </w:r>
    </w:p>
    <w:p w:rsidR="00934E92" w:rsidRPr="00D333A9" w:rsidRDefault="00934E92" w:rsidP="00B757A7">
      <w:pPr>
        <w:autoSpaceDE w:val="0"/>
        <w:autoSpaceDN w:val="0"/>
        <w:adjustRightInd w:val="0"/>
        <w:rPr>
          <w:rFonts w:cs="Arial"/>
          <w:sz w:val="24"/>
          <w:szCs w:val="24"/>
        </w:rPr>
      </w:pPr>
    </w:p>
    <w:p w:rsidR="00934E92" w:rsidRPr="00D333A9" w:rsidRDefault="00934E92" w:rsidP="00B757A7">
      <w:pPr>
        <w:autoSpaceDE w:val="0"/>
        <w:autoSpaceDN w:val="0"/>
        <w:adjustRightInd w:val="0"/>
        <w:rPr>
          <w:rFonts w:cs="Arial"/>
          <w:sz w:val="24"/>
          <w:szCs w:val="24"/>
        </w:rPr>
      </w:pPr>
      <w:r w:rsidRPr="00D333A9">
        <w:rPr>
          <w:rFonts w:cs="Arial"/>
          <w:sz w:val="24"/>
          <w:szCs w:val="24"/>
        </w:rPr>
        <w:t xml:space="preserve">Rehm J, </w:t>
      </w:r>
      <w:proofErr w:type="spellStart"/>
      <w:r w:rsidRPr="00D333A9">
        <w:rPr>
          <w:rFonts w:cs="Arial"/>
          <w:sz w:val="24"/>
          <w:szCs w:val="24"/>
        </w:rPr>
        <w:t>Samokhvalov</w:t>
      </w:r>
      <w:proofErr w:type="spellEnd"/>
      <w:r w:rsidRPr="00D333A9">
        <w:rPr>
          <w:rFonts w:cs="Arial"/>
          <w:sz w:val="24"/>
          <w:szCs w:val="24"/>
        </w:rPr>
        <w:t xml:space="preserve"> AV, Neuman MG, Room R, Parry C, </w:t>
      </w:r>
      <w:proofErr w:type="spellStart"/>
      <w:r w:rsidRPr="00D333A9">
        <w:rPr>
          <w:rFonts w:cs="Arial"/>
          <w:sz w:val="24"/>
          <w:szCs w:val="24"/>
        </w:rPr>
        <w:t>Lonnroth</w:t>
      </w:r>
      <w:proofErr w:type="spellEnd"/>
      <w:r w:rsidRPr="00D333A9">
        <w:rPr>
          <w:rFonts w:cs="Arial"/>
          <w:sz w:val="24"/>
          <w:szCs w:val="24"/>
        </w:rPr>
        <w:t xml:space="preserve"> K, et al. The association between alcohol use, alcohol use disorders and tuberculosis (TB). A systematic review. BMC Public Health </w:t>
      </w:r>
      <w:proofErr w:type="gramStart"/>
      <w:r w:rsidRPr="00D333A9">
        <w:rPr>
          <w:rFonts w:cs="Arial"/>
          <w:sz w:val="24"/>
          <w:szCs w:val="24"/>
        </w:rPr>
        <w:t>2009;9:450</w:t>
      </w:r>
      <w:proofErr w:type="gramEnd"/>
      <w:r w:rsidRPr="00D333A9">
        <w:rPr>
          <w:rFonts w:cs="Arial"/>
          <w:sz w:val="24"/>
          <w:szCs w:val="24"/>
        </w:rPr>
        <w:t>.</w:t>
      </w:r>
    </w:p>
    <w:p w:rsidR="00934E92" w:rsidRPr="00D333A9" w:rsidRDefault="00934E92" w:rsidP="00B757A7">
      <w:pPr>
        <w:autoSpaceDE w:val="0"/>
        <w:autoSpaceDN w:val="0"/>
        <w:adjustRightInd w:val="0"/>
        <w:rPr>
          <w:rFonts w:cs="Arial"/>
          <w:sz w:val="24"/>
          <w:szCs w:val="24"/>
        </w:rPr>
      </w:pPr>
    </w:p>
    <w:p w:rsidR="00934E92" w:rsidRPr="00D333A9" w:rsidRDefault="00934E92" w:rsidP="00B757A7">
      <w:pPr>
        <w:autoSpaceDE w:val="0"/>
        <w:autoSpaceDN w:val="0"/>
        <w:adjustRightInd w:val="0"/>
        <w:rPr>
          <w:rFonts w:cs="Arial"/>
          <w:sz w:val="24"/>
          <w:szCs w:val="24"/>
        </w:rPr>
      </w:pPr>
      <w:r w:rsidRPr="00D333A9">
        <w:rPr>
          <w:rFonts w:cs="Arial"/>
          <w:sz w:val="24"/>
          <w:szCs w:val="24"/>
        </w:rPr>
        <w:t xml:space="preserve">Rehm J, Taylor B, Mohapatra S, Irving H, </w:t>
      </w:r>
      <w:proofErr w:type="spellStart"/>
      <w:r w:rsidRPr="00D333A9">
        <w:rPr>
          <w:rFonts w:cs="Arial"/>
          <w:sz w:val="24"/>
          <w:szCs w:val="24"/>
        </w:rPr>
        <w:t>Baliunas</w:t>
      </w:r>
      <w:proofErr w:type="spellEnd"/>
      <w:r w:rsidRPr="00D333A9">
        <w:rPr>
          <w:rFonts w:cs="Arial"/>
          <w:sz w:val="24"/>
          <w:szCs w:val="24"/>
        </w:rPr>
        <w:t xml:space="preserve"> D, Patra J, et al. Alcohol as a risk factor for liver cirrhosis: a systematic review and meta-analysis. Drug Alcohol Rev 2010;29(4):437-45.</w:t>
      </w:r>
    </w:p>
    <w:p w:rsidR="00934E92" w:rsidRPr="00D333A9" w:rsidRDefault="00934E92" w:rsidP="00B757A7">
      <w:pPr>
        <w:autoSpaceDE w:val="0"/>
        <w:autoSpaceDN w:val="0"/>
        <w:adjustRightInd w:val="0"/>
        <w:rPr>
          <w:rFonts w:cs="Arial"/>
          <w:sz w:val="24"/>
          <w:szCs w:val="24"/>
        </w:rPr>
      </w:pPr>
    </w:p>
    <w:p w:rsidR="00934E92" w:rsidRPr="00D333A9" w:rsidRDefault="00934E92" w:rsidP="00B757A7">
      <w:pPr>
        <w:autoSpaceDE w:val="0"/>
        <w:autoSpaceDN w:val="0"/>
        <w:adjustRightInd w:val="0"/>
        <w:rPr>
          <w:rFonts w:cs="Arial"/>
          <w:sz w:val="24"/>
          <w:szCs w:val="24"/>
        </w:rPr>
      </w:pPr>
      <w:r w:rsidRPr="00D333A9">
        <w:rPr>
          <w:rFonts w:cs="Arial"/>
          <w:sz w:val="24"/>
          <w:szCs w:val="24"/>
        </w:rPr>
        <w:t>Rice P, Drummond C. The price of a drink: the potential of alcohol minimum unit pricing as a public health measure in the UK. Br J Psychiatry 2012;201(3):169-71.</w:t>
      </w:r>
    </w:p>
    <w:p w:rsidR="00934E92" w:rsidRPr="00D333A9" w:rsidRDefault="00934E92" w:rsidP="00B757A7">
      <w:pPr>
        <w:autoSpaceDE w:val="0"/>
        <w:autoSpaceDN w:val="0"/>
        <w:adjustRightInd w:val="0"/>
        <w:rPr>
          <w:rFonts w:cs="Arial"/>
          <w:sz w:val="24"/>
          <w:szCs w:val="24"/>
        </w:rPr>
      </w:pPr>
    </w:p>
    <w:p w:rsidR="00934E92" w:rsidRPr="00D333A9" w:rsidRDefault="00934E92" w:rsidP="00B757A7">
      <w:pPr>
        <w:autoSpaceDE w:val="0"/>
        <w:autoSpaceDN w:val="0"/>
        <w:adjustRightInd w:val="0"/>
        <w:rPr>
          <w:rFonts w:cs="Arial"/>
          <w:sz w:val="24"/>
          <w:szCs w:val="24"/>
        </w:rPr>
      </w:pPr>
      <w:proofErr w:type="spellStart"/>
      <w:r w:rsidRPr="00D333A9">
        <w:rPr>
          <w:rFonts w:cs="Arial"/>
          <w:sz w:val="24"/>
          <w:szCs w:val="24"/>
        </w:rPr>
        <w:t>Roerecke</w:t>
      </w:r>
      <w:proofErr w:type="spellEnd"/>
      <w:r w:rsidRPr="00D333A9">
        <w:rPr>
          <w:rFonts w:cs="Arial"/>
          <w:sz w:val="24"/>
          <w:szCs w:val="24"/>
        </w:rPr>
        <w:t xml:space="preserve"> M, Rehm J. Irregular heavy drinking occasions and risk of ischemic heart disease: a systematic review and meta-analysis. Am J Epidemiol 2010;171(6):633-44.</w:t>
      </w:r>
    </w:p>
    <w:p w:rsidR="00934E92" w:rsidRPr="00D333A9" w:rsidRDefault="00934E92" w:rsidP="00B757A7">
      <w:pPr>
        <w:autoSpaceDE w:val="0"/>
        <w:autoSpaceDN w:val="0"/>
        <w:adjustRightInd w:val="0"/>
        <w:rPr>
          <w:rFonts w:cs="Arial"/>
          <w:sz w:val="24"/>
          <w:szCs w:val="24"/>
        </w:rPr>
      </w:pPr>
    </w:p>
    <w:p w:rsidR="00934E92" w:rsidRDefault="00934E92" w:rsidP="00B757A7">
      <w:pPr>
        <w:autoSpaceDE w:val="0"/>
        <w:autoSpaceDN w:val="0"/>
        <w:adjustRightInd w:val="0"/>
        <w:rPr>
          <w:rFonts w:cs="Arial"/>
          <w:sz w:val="24"/>
          <w:szCs w:val="24"/>
        </w:rPr>
      </w:pPr>
      <w:proofErr w:type="spellStart"/>
      <w:r w:rsidRPr="00D333A9">
        <w:rPr>
          <w:rFonts w:cs="Arial"/>
          <w:sz w:val="24"/>
          <w:szCs w:val="24"/>
        </w:rPr>
        <w:t>Roerecke</w:t>
      </w:r>
      <w:proofErr w:type="spellEnd"/>
      <w:r w:rsidRPr="00D333A9">
        <w:rPr>
          <w:rFonts w:cs="Arial"/>
          <w:sz w:val="24"/>
          <w:szCs w:val="24"/>
        </w:rPr>
        <w:t xml:space="preserve"> M, Rehm J. The cardioprotective association of average alcohol consumption and </w:t>
      </w:r>
      <w:proofErr w:type="spellStart"/>
      <w:r w:rsidRPr="00D333A9">
        <w:rPr>
          <w:rFonts w:cs="Arial"/>
          <w:sz w:val="24"/>
          <w:szCs w:val="24"/>
        </w:rPr>
        <w:t>ischaemic</w:t>
      </w:r>
      <w:proofErr w:type="spellEnd"/>
      <w:r w:rsidRPr="00D333A9">
        <w:rPr>
          <w:rFonts w:cs="Arial"/>
          <w:sz w:val="24"/>
          <w:szCs w:val="24"/>
        </w:rPr>
        <w:t xml:space="preserve"> heart disease: a systematic review and meta-analysis. Addiction 2012;107(7):1246-60.</w:t>
      </w:r>
    </w:p>
    <w:p w:rsidR="002D4FB9" w:rsidRPr="00D333A9" w:rsidRDefault="002D4FB9" w:rsidP="00B757A7">
      <w:pPr>
        <w:autoSpaceDE w:val="0"/>
        <w:autoSpaceDN w:val="0"/>
        <w:adjustRightInd w:val="0"/>
        <w:rPr>
          <w:rFonts w:cs="Arial"/>
          <w:sz w:val="24"/>
          <w:szCs w:val="24"/>
        </w:rPr>
      </w:pPr>
    </w:p>
    <w:p w:rsidR="00B35386" w:rsidRPr="00B35386" w:rsidRDefault="00B35386" w:rsidP="00B35386">
      <w:pPr>
        <w:jc w:val="left"/>
        <w:rPr>
          <w:rFonts w:cs="Arial"/>
          <w:sz w:val="24"/>
          <w:szCs w:val="24"/>
        </w:rPr>
      </w:pPr>
      <w:proofErr w:type="spellStart"/>
      <w:r w:rsidRPr="00B53E46">
        <w:rPr>
          <w:rFonts w:cs="Arial"/>
          <w:sz w:val="24"/>
          <w:szCs w:val="24"/>
        </w:rPr>
        <w:t>Roerecke</w:t>
      </w:r>
      <w:proofErr w:type="spellEnd"/>
      <w:r w:rsidRPr="00B53E46">
        <w:rPr>
          <w:rFonts w:cs="Arial"/>
          <w:sz w:val="24"/>
          <w:szCs w:val="24"/>
        </w:rPr>
        <w:t xml:space="preserve"> M, Rehm J. Alcohol intake revisited: risks and benefits. </w:t>
      </w:r>
      <w:proofErr w:type="spellStart"/>
      <w:r w:rsidRPr="00B53E46">
        <w:rPr>
          <w:rFonts w:cs="Arial"/>
          <w:sz w:val="24"/>
          <w:szCs w:val="24"/>
        </w:rPr>
        <w:t>Curr</w:t>
      </w:r>
      <w:proofErr w:type="spellEnd"/>
      <w:r w:rsidRPr="00B53E46">
        <w:rPr>
          <w:rFonts w:cs="Arial"/>
          <w:sz w:val="24"/>
          <w:szCs w:val="24"/>
        </w:rPr>
        <w:t xml:space="preserve"> </w:t>
      </w:r>
      <w:proofErr w:type="spellStart"/>
      <w:r w:rsidRPr="00B53E46">
        <w:rPr>
          <w:rFonts w:cs="Arial"/>
          <w:sz w:val="24"/>
          <w:szCs w:val="24"/>
        </w:rPr>
        <w:t>Atheroscler</w:t>
      </w:r>
      <w:proofErr w:type="spellEnd"/>
      <w:r w:rsidRPr="00B53E46">
        <w:rPr>
          <w:rFonts w:cs="Arial"/>
          <w:sz w:val="24"/>
          <w:szCs w:val="24"/>
        </w:rPr>
        <w:t xml:space="preserve"> Rep 2012; 14:556-562.</w:t>
      </w:r>
      <w:r w:rsidRPr="00B35386">
        <w:rPr>
          <w:rFonts w:cs="Arial"/>
          <w:sz w:val="24"/>
          <w:szCs w:val="24"/>
        </w:rPr>
        <w:t xml:space="preserve"> </w:t>
      </w:r>
    </w:p>
    <w:p w:rsidR="00B35386" w:rsidRDefault="00B35386" w:rsidP="00B757A7">
      <w:pPr>
        <w:autoSpaceDE w:val="0"/>
        <w:autoSpaceDN w:val="0"/>
        <w:adjustRightInd w:val="0"/>
        <w:rPr>
          <w:rFonts w:cs="Arial"/>
          <w:sz w:val="24"/>
          <w:szCs w:val="24"/>
        </w:rPr>
      </w:pPr>
    </w:p>
    <w:p w:rsidR="00934E92" w:rsidRPr="00D333A9" w:rsidRDefault="00934E92" w:rsidP="00B757A7">
      <w:pPr>
        <w:autoSpaceDE w:val="0"/>
        <w:autoSpaceDN w:val="0"/>
        <w:adjustRightInd w:val="0"/>
        <w:rPr>
          <w:rFonts w:cs="Arial"/>
          <w:sz w:val="24"/>
          <w:szCs w:val="24"/>
        </w:rPr>
      </w:pPr>
      <w:r w:rsidRPr="00D333A9">
        <w:rPr>
          <w:rFonts w:cs="Arial"/>
          <w:sz w:val="24"/>
          <w:szCs w:val="24"/>
        </w:rPr>
        <w:t xml:space="preserve">Romeo J, </w:t>
      </w:r>
      <w:proofErr w:type="spellStart"/>
      <w:r w:rsidRPr="00D333A9">
        <w:rPr>
          <w:rFonts w:cs="Arial"/>
          <w:sz w:val="24"/>
          <w:szCs w:val="24"/>
        </w:rPr>
        <w:t>Warnberg</w:t>
      </w:r>
      <w:proofErr w:type="spellEnd"/>
      <w:r w:rsidRPr="00D333A9">
        <w:rPr>
          <w:rFonts w:cs="Arial"/>
          <w:sz w:val="24"/>
          <w:szCs w:val="24"/>
        </w:rPr>
        <w:t xml:space="preserve"> J, Marcos A. Drinking pattern and socio-cultural aspects on immune response: an overview. Proc </w:t>
      </w:r>
      <w:proofErr w:type="spellStart"/>
      <w:r w:rsidRPr="00D333A9">
        <w:rPr>
          <w:rFonts w:cs="Arial"/>
          <w:sz w:val="24"/>
          <w:szCs w:val="24"/>
        </w:rPr>
        <w:t>Nutr</w:t>
      </w:r>
      <w:proofErr w:type="spellEnd"/>
      <w:r w:rsidRPr="00D333A9">
        <w:rPr>
          <w:rFonts w:cs="Arial"/>
          <w:sz w:val="24"/>
          <w:szCs w:val="24"/>
        </w:rPr>
        <w:t xml:space="preserve"> </w:t>
      </w:r>
      <w:proofErr w:type="spellStart"/>
      <w:r w:rsidRPr="00D333A9">
        <w:rPr>
          <w:rFonts w:cs="Arial"/>
          <w:sz w:val="24"/>
          <w:szCs w:val="24"/>
        </w:rPr>
        <w:t>Soc</w:t>
      </w:r>
      <w:proofErr w:type="spellEnd"/>
      <w:r w:rsidRPr="00D333A9">
        <w:rPr>
          <w:rFonts w:cs="Arial"/>
          <w:sz w:val="24"/>
          <w:szCs w:val="24"/>
        </w:rPr>
        <w:t xml:space="preserve"> 2010;69(3):341-6.</w:t>
      </w:r>
    </w:p>
    <w:p w:rsidR="00934E92" w:rsidRPr="00D333A9" w:rsidRDefault="00934E92" w:rsidP="00B757A7">
      <w:pPr>
        <w:autoSpaceDE w:val="0"/>
        <w:autoSpaceDN w:val="0"/>
        <w:adjustRightInd w:val="0"/>
        <w:rPr>
          <w:rFonts w:cs="Arial"/>
          <w:sz w:val="24"/>
          <w:szCs w:val="24"/>
        </w:rPr>
      </w:pPr>
    </w:p>
    <w:p w:rsidR="00934E92" w:rsidRPr="00D333A9" w:rsidRDefault="00934E92" w:rsidP="00B757A7">
      <w:pPr>
        <w:autoSpaceDE w:val="0"/>
        <w:autoSpaceDN w:val="0"/>
        <w:adjustRightInd w:val="0"/>
        <w:rPr>
          <w:rFonts w:cs="Arial"/>
          <w:sz w:val="24"/>
          <w:szCs w:val="24"/>
          <w:lang w:val="fr-BE"/>
        </w:rPr>
      </w:pPr>
      <w:proofErr w:type="spellStart"/>
      <w:r w:rsidRPr="00D333A9">
        <w:rPr>
          <w:rFonts w:cs="Arial"/>
          <w:sz w:val="24"/>
          <w:szCs w:val="24"/>
        </w:rPr>
        <w:t>Samokhvalov</w:t>
      </w:r>
      <w:proofErr w:type="spellEnd"/>
      <w:r w:rsidRPr="00D333A9">
        <w:rPr>
          <w:rFonts w:cs="Arial"/>
          <w:sz w:val="24"/>
          <w:szCs w:val="24"/>
        </w:rPr>
        <w:t xml:space="preserve"> AV, Popova S, Room R, </w:t>
      </w:r>
      <w:proofErr w:type="spellStart"/>
      <w:r w:rsidRPr="00D333A9">
        <w:rPr>
          <w:rFonts w:cs="Arial"/>
          <w:sz w:val="24"/>
          <w:szCs w:val="24"/>
        </w:rPr>
        <w:t>Ramonas</w:t>
      </w:r>
      <w:proofErr w:type="spellEnd"/>
      <w:r w:rsidRPr="00D333A9">
        <w:rPr>
          <w:rFonts w:cs="Arial"/>
          <w:sz w:val="24"/>
          <w:szCs w:val="24"/>
        </w:rPr>
        <w:t xml:space="preserve"> M, Rehm J. Disability associated with alcohol abuse and dependence. </w:t>
      </w:r>
      <w:proofErr w:type="spellStart"/>
      <w:r w:rsidRPr="00D333A9">
        <w:rPr>
          <w:rFonts w:cs="Arial"/>
          <w:sz w:val="24"/>
          <w:szCs w:val="24"/>
          <w:lang w:val="fr-BE"/>
        </w:rPr>
        <w:t>Alcohol</w:t>
      </w:r>
      <w:proofErr w:type="spellEnd"/>
      <w:r w:rsidRPr="00D333A9">
        <w:rPr>
          <w:rFonts w:cs="Arial"/>
          <w:sz w:val="24"/>
          <w:szCs w:val="24"/>
          <w:lang w:val="fr-BE"/>
        </w:rPr>
        <w:t xml:space="preserve"> Clin </w:t>
      </w:r>
      <w:proofErr w:type="spellStart"/>
      <w:r w:rsidRPr="00D333A9">
        <w:rPr>
          <w:rFonts w:cs="Arial"/>
          <w:sz w:val="24"/>
          <w:szCs w:val="24"/>
          <w:lang w:val="fr-BE"/>
        </w:rPr>
        <w:t>Exp</w:t>
      </w:r>
      <w:proofErr w:type="spellEnd"/>
      <w:r w:rsidRPr="00D333A9">
        <w:rPr>
          <w:rFonts w:cs="Arial"/>
          <w:sz w:val="24"/>
          <w:szCs w:val="24"/>
          <w:lang w:val="fr-BE"/>
        </w:rPr>
        <w:t xml:space="preserve"> </w:t>
      </w:r>
      <w:proofErr w:type="spellStart"/>
      <w:r w:rsidRPr="00D333A9">
        <w:rPr>
          <w:rFonts w:cs="Arial"/>
          <w:sz w:val="24"/>
          <w:szCs w:val="24"/>
          <w:lang w:val="fr-BE"/>
        </w:rPr>
        <w:t>Res</w:t>
      </w:r>
      <w:proofErr w:type="spellEnd"/>
      <w:r w:rsidRPr="00D333A9">
        <w:rPr>
          <w:rFonts w:cs="Arial"/>
          <w:sz w:val="24"/>
          <w:szCs w:val="24"/>
          <w:lang w:val="fr-BE"/>
        </w:rPr>
        <w:t xml:space="preserve"> 2010;34(11):1871-8.</w:t>
      </w:r>
    </w:p>
    <w:p w:rsidR="00934E92" w:rsidRPr="00D333A9" w:rsidRDefault="00934E92" w:rsidP="00A85CA5">
      <w:pPr>
        <w:autoSpaceDE w:val="0"/>
        <w:autoSpaceDN w:val="0"/>
        <w:adjustRightInd w:val="0"/>
        <w:rPr>
          <w:rFonts w:cs="Arial"/>
          <w:sz w:val="24"/>
          <w:szCs w:val="24"/>
          <w:lang w:val="fr-BE"/>
        </w:rPr>
      </w:pPr>
    </w:p>
    <w:p w:rsidR="00934E92" w:rsidRPr="00D333A9" w:rsidRDefault="00934E92" w:rsidP="00A85CA5">
      <w:pPr>
        <w:autoSpaceDE w:val="0"/>
        <w:autoSpaceDN w:val="0"/>
        <w:adjustRightInd w:val="0"/>
        <w:rPr>
          <w:rFonts w:cs="Arial"/>
          <w:sz w:val="24"/>
          <w:szCs w:val="24"/>
        </w:rPr>
      </w:pPr>
      <w:r w:rsidRPr="00D333A9">
        <w:rPr>
          <w:rFonts w:cs="Arial"/>
          <w:sz w:val="24"/>
          <w:szCs w:val="24"/>
          <w:lang w:val="fr-BE"/>
        </w:rPr>
        <w:t xml:space="preserve">Santé publique France, Institut national du cancer. Avis d’experts relatif à l'évolution du discours public en matière de consommation d'alcool en France. </w:t>
      </w:r>
      <w:r w:rsidRPr="00D333A9">
        <w:rPr>
          <w:rFonts w:cs="Arial"/>
          <w:sz w:val="24"/>
          <w:szCs w:val="24"/>
        </w:rPr>
        <w:t xml:space="preserve">Saint-Maurice: Santé </w:t>
      </w:r>
      <w:proofErr w:type="spellStart"/>
      <w:r w:rsidRPr="00D333A9">
        <w:rPr>
          <w:rFonts w:cs="Arial"/>
          <w:sz w:val="24"/>
          <w:szCs w:val="24"/>
        </w:rPr>
        <w:t>publique</w:t>
      </w:r>
      <w:proofErr w:type="spellEnd"/>
      <w:r w:rsidRPr="00D333A9">
        <w:rPr>
          <w:rFonts w:cs="Arial"/>
          <w:sz w:val="24"/>
          <w:szCs w:val="24"/>
        </w:rPr>
        <w:t xml:space="preserve"> France; 2017. </w:t>
      </w:r>
    </w:p>
    <w:p w:rsidR="00934E92" w:rsidRPr="00D333A9" w:rsidRDefault="00934E92" w:rsidP="00934E92">
      <w:pPr>
        <w:autoSpaceDE w:val="0"/>
        <w:autoSpaceDN w:val="0"/>
        <w:adjustRightInd w:val="0"/>
        <w:rPr>
          <w:rFonts w:cs="Arial"/>
          <w:sz w:val="24"/>
          <w:szCs w:val="24"/>
        </w:rPr>
      </w:pPr>
    </w:p>
    <w:p w:rsidR="00934E92" w:rsidRPr="00D333A9" w:rsidRDefault="00934E92" w:rsidP="00934E92">
      <w:pPr>
        <w:autoSpaceDE w:val="0"/>
        <w:autoSpaceDN w:val="0"/>
        <w:adjustRightInd w:val="0"/>
        <w:rPr>
          <w:rFonts w:cs="Arial"/>
          <w:sz w:val="24"/>
          <w:szCs w:val="24"/>
        </w:rPr>
      </w:pPr>
      <w:proofErr w:type="spellStart"/>
      <w:r w:rsidRPr="00D333A9">
        <w:rPr>
          <w:rFonts w:cs="Arial"/>
          <w:sz w:val="24"/>
          <w:szCs w:val="24"/>
        </w:rPr>
        <w:t>Schwarzinger</w:t>
      </w:r>
      <w:proofErr w:type="spellEnd"/>
      <w:r w:rsidRPr="00D333A9">
        <w:rPr>
          <w:rFonts w:cs="Arial"/>
          <w:sz w:val="24"/>
          <w:szCs w:val="24"/>
        </w:rPr>
        <w:t xml:space="preserve"> M, Pollock BG, Hasan OSM, </w:t>
      </w:r>
      <w:proofErr w:type="spellStart"/>
      <w:r w:rsidRPr="00D333A9">
        <w:rPr>
          <w:rFonts w:cs="Arial"/>
          <w:sz w:val="24"/>
          <w:szCs w:val="24"/>
        </w:rPr>
        <w:t>Dufouil</w:t>
      </w:r>
      <w:proofErr w:type="spellEnd"/>
      <w:r w:rsidRPr="00D333A9">
        <w:rPr>
          <w:rFonts w:cs="Arial"/>
          <w:sz w:val="24"/>
          <w:szCs w:val="24"/>
        </w:rPr>
        <w:t xml:space="preserve"> C, Rehm J. Contribution of alcohol use disorders to the burden of dementia in France 2008-13: a nationwide retrospective cohort study. Lancet Public Health 2018;3(3</w:t>
      </w:r>
      <w:proofErr w:type="gramStart"/>
      <w:r w:rsidRPr="00D333A9">
        <w:rPr>
          <w:rFonts w:cs="Arial"/>
          <w:sz w:val="24"/>
          <w:szCs w:val="24"/>
        </w:rPr>
        <w:t>):e</w:t>
      </w:r>
      <w:proofErr w:type="gramEnd"/>
      <w:r w:rsidRPr="00D333A9">
        <w:rPr>
          <w:rFonts w:cs="Arial"/>
          <w:sz w:val="24"/>
          <w:szCs w:val="24"/>
        </w:rPr>
        <w:t>124-e32.</w:t>
      </w:r>
    </w:p>
    <w:p w:rsidR="00934E92" w:rsidRPr="00D333A9" w:rsidRDefault="00934E92" w:rsidP="00B757A7">
      <w:pPr>
        <w:autoSpaceDE w:val="0"/>
        <w:autoSpaceDN w:val="0"/>
        <w:adjustRightInd w:val="0"/>
        <w:rPr>
          <w:rFonts w:cs="Arial"/>
          <w:sz w:val="24"/>
          <w:szCs w:val="24"/>
        </w:rPr>
      </w:pPr>
    </w:p>
    <w:p w:rsidR="00934E92" w:rsidRPr="00D333A9" w:rsidRDefault="00934E92" w:rsidP="00B757A7">
      <w:pPr>
        <w:autoSpaceDE w:val="0"/>
        <w:autoSpaceDN w:val="0"/>
        <w:adjustRightInd w:val="0"/>
        <w:rPr>
          <w:rFonts w:cs="Arial"/>
          <w:sz w:val="24"/>
          <w:szCs w:val="24"/>
        </w:rPr>
      </w:pPr>
      <w:proofErr w:type="spellStart"/>
      <w:r w:rsidRPr="00D333A9">
        <w:rPr>
          <w:rFonts w:cs="Arial"/>
          <w:sz w:val="24"/>
          <w:szCs w:val="24"/>
        </w:rPr>
        <w:t>Scoccianti</w:t>
      </w:r>
      <w:proofErr w:type="spellEnd"/>
      <w:r w:rsidRPr="00D333A9">
        <w:rPr>
          <w:rFonts w:cs="Arial"/>
          <w:sz w:val="24"/>
          <w:szCs w:val="24"/>
        </w:rPr>
        <w:t xml:space="preserve"> C, </w:t>
      </w:r>
      <w:proofErr w:type="spellStart"/>
      <w:r w:rsidRPr="00D333A9">
        <w:rPr>
          <w:rFonts w:cs="Arial"/>
          <w:sz w:val="24"/>
          <w:szCs w:val="24"/>
        </w:rPr>
        <w:t>Cecchini</w:t>
      </w:r>
      <w:proofErr w:type="spellEnd"/>
      <w:r w:rsidRPr="00D333A9">
        <w:rPr>
          <w:rFonts w:cs="Arial"/>
          <w:sz w:val="24"/>
          <w:szCs w:val="24"/>
        </w:rPr>
        <w:t xml:space="preserve"> M, Anderson AS, </w:t>
      </w:r>
      <w:proofErr w:type="spellStart"/>
      <w:r w:rsidRPr="00D333A9">
        <w:rPr>
          <w:rFonts w:cs="Arial"/>
          <w:sz w:val="24"/>
          <w:szCs w:val="24"/>
        </w:rPr>
        <w:t>Berrino</w:t>
      </w:r>
      <w:proofErr w:type="spellEnd"/>
      <w:r w:rsidRPr="00D333A9">
        <w:rPr>
          <w:rFonts w:cs="Arial"/>
          <w:sz w:val="24"/>
          <w:szCs w:val="24"/>
        </w:rPr>
        <w:t xml:space="preserve"> F, </w:t>
      </w:r>
      <w:proofErr w:type="spellStart"/>
      <w:r w:rsidRPr="00D333A9">
        <w:rPr>
          <w:rFonts w:cs="Arial"/>
          <w:sz w:val="24"/>
          <w:szCs w:val="24"/>
        </w:rPr>
        <w:t>Boutron-Ruault</w:t>
      </w:r>
      <w:proofErr w:type="spellEnd"/>
      <w:r w:rsidRPr="00D333A9">
        <w:rPr>
          <w:rFonts w:cs="Arial"/>
          <w:sz w:val="24"/>
          <w:szCs w:val="24"/>
        </w:rPr>
        <w:t xml:space="preserve"> MC, </w:t>
      </w:r>
      <w:proofErr w:type="spellStart"/>
      <w:r w:rsidRPr="00D333A9">
        <w:rPr>
          <w:rFonts w:cs="Arial"/>
          <w:sz w:val="24"/>
          <w:szCs w:val="24"/>
        </w:rPr>
        <w:t>Espina</w:t>
      </w:r>
      <w:proofErr w:type="spellEnd"/>
      <w:r w:rsidRPr="00D333A9">
        <w:rPr>
          <w:rFonts w:cs="Arial"/>
          <w:sz w:val="24"/>
          <w:szCs w:val="24"/>
        </w:rPr>
        <w:t xml:space="preserve"> C, et al. European Code against Cancer 4th Edition: Alcohol drinking and cancer. Cancer Epidemiol 2015;39 </w:t>
      </w:r>
      <w:proofErr w:type="spellStart"/>
      <w:r w:rsidRPr="00D333A9">
        <w:rPr>
          <w:rFonts w:cs="Arial"/>
          <w:sz w:val="24"/>
          <w:szCs w:val="24"/>
        </w:rPr>
        <w:t>Suppl</w:t>
      </w:r>
      <w:proofErr w:type="spellEnd"/>
      <w:r w:rsidRPr="00D333A9">
        <w:rPr>
          <w:rFonts w:cs="Arial"/>
          <w:sz w:val="24"/>
          <w:szCs w:val="24"/>
        </w:rPr>
        <w:t xml:space="preserve"> </w:t>
      </w:r>
      <w:proofErr w:type="gramStart"/>
      <w:r w:rsidRPr="00D333A9">
        <w:rPr>
          <w:rFonts w:cs="Arial"/>
          <w:sz w:val="24"/>
          <w:szCs w:val="24"/>
        </w:rPr>
        <w:t>1:S</w:t>
      </w:r>
      <w:proofErr w:type="gramEnd"/>
      <w:r w:rsidRPr="00D333A9">
        <w:rPr>
          <w:rFonts w:cs="Arial"/>
          <w:sz w:val="24"/>
          <w:szCs w:val="24"/>
        </w:rPr>
        <w:t>67-74.</w:t>
      </w:r>
    </w:p>
    <w:p w:rsidR="00934E92" w:rsidRPr="00D333A9" w:rsidRDefault="00934E92" w:rsidP="00B757A7">
      <w:pPr>
        <w:autoSpaceDE w:val="0"/>
        <w:autoSpaceDN w:val="0"/>
        <w:adjustRightInd w:val="0"/>
        <w:rPr>
          <w:rFonts w:cs="Arial"/>
          <w:sz w:val="24"/>
          <w:szCs w:val="24"/>
        </w:rPr>
      </w:pPr>
    </w:p>
    <w:p w:rsidR="00934E92" w:rsidRPr="00D333A9" w:rsidRDefault="00934E92" w:rsidP="00B757A7">
      <w:pPr>
        <w:autoSpaceDE w:val="0"/>
        <w:autoSpaceDN w:val="0"/>
        <w:adjustRightInd w:val="0"/>
        <w:rPr>
          <w:rFonts w:cs="Arial"/>
          <w:sz w:val="24"/>
          <w:szCs w:val="24"/>
        </w:rPr>
      </w:pPr>
      <w:r w:rsidRPr="00D333A9">
        <w:rPr>
          <w:rFonts w:cs="Arial"/>
          <w:sz w:val="24"/>
          <w:szCs w:val="24"/>
        </w:rPr>
        <w:t xml:space="preserve">Scottish Government. Final business and regulatory impact </w:t>
      </w:r>
      <w:proofErr w:type="spellStart"/>
      <w:r w:rsidRPr="00D333A9">
        <w:rPr>
          <w:rFonts w:cs="Arial"/>
          <w:sz w:val="24"/>
          <w:szCs w:val="24"/>
        </w:rPr>
        <w:t>assessmentfor</w:t>
      </w:r>
      <w:proofErr w:type="spellEnd"/>
      <w:r w:rsidRPr="00D333A9">
        <w:rPr>
          <w:rFonts w:cs="Arial"/>
          <w:sz w:val="24"/>
          <w:szCs w:val="24"/>
        </w:rPr>
        <w:t xml:space="preserve"> minimum price per unit of alcohol as contained in alcohol (minimum </w:t>
      </w:r>
      <w:proofErr w:type="gramStart"/>
      <w:r w:rsidRPr="00D333A9">
        <w:rPr>
          <w:rFonts w:cs="Arial"/>
          <w:sz w:val="24"/>
          <w:szCs w:val="24"/>
        </w:rPr>
        <w:t>pricing)(</w:t>
      </w:r>
      <w:proofErr w:type="gramEnd"/>
      <w:r w:rsidRPr="00D333A9">
        <w:rPr>
          <w:rFonts w:cs="Arial"/>
          <w:sz w:val="24"/>
          <w:szCs w:val="24"/>
        </w:rPr>
        <w:t xml:space="preserve">Scotland) bill. Framework for </w:t>
      </w:r>
      <w:proofErr w:type="gramStart"/>
      <w:r w:rsidRPr="00D333A9">
        <w:rPr>
          <w:rFonts w:cs="Arial"/>
          <w:sz w:val="24"/>
          <w:szCs w:val="24"/>
        </w:rPr>
        <w:t>action :</w:t>
      </w:r>
      <w:proofErr w:type="gramEnd"/>
      <w:r w:rsidRPr="00D333A9">
        <w:rPr>
          <w:rFonts w:cs="Arial"/>
          <w:sz w:val="24"/>
          <w:szCs w:val="24"/>
        </w:rPr>
        <w:t xml:space="preserve"> changing Scotland’s relationship with alcohol; 2012..</w:t>
      </w:r>
    </w:p>
    <w:p w:rsidR="00934E92" w:rsidRPr="00D333A9" w:rsidRDefault="00934E92" w:rsidP="00B757A7">
      <w:pPr>
        <w:autoSpaceDE w:val="0"/>
        <w:autoSpaceDN w:val="0"/>
        <w:adjustRightInd w:val="0"/>
        <w:rPr>
          <w:rFonts w:cs="Arial"/>
          <w:sz w:val="24"/>
          <w:szCs w:val="24"/>
        </w:rPr>
      </w:pPr>
    </w:p>
    <w:p w:rsidR="00934E92" w:rsidRPr="00D333A9" w:rsidRDefault="00934E92" w:rsidP="00B757A7">
      <w:pPr>
        <w:autoSpaceDE w:val="0"/>
        <w:autoSpaceDN w:val="0"/>
        <w:adjustRightInd w:val="0"/>
        <w:rPr>
          <w:rFonts w:cs="Arial"/>
          <w:sz w:val="24"/>
          <w:szCs w:val="24"/>
        </w:rPr>
      </w:pPr>
      <w:proofErr w:type="spellStart"/>
      <w:r w:rsidRPr="00D333A9">
        <w:rPr>
          <w:rFonts w:cs="Arial"/>
          <w:sz w:val="24"/>
          <w:szCs w:val="24"/>
        </w:rPr>
        <w:t>Shuper</w:t>
      </w:r>
      <w:proofErr w:type="spellEnd"/>
      <w:r w:rsidRPr="00D333A9">
        <w:rPr>
          <w:rFonts w:cs="Arial"/>
          <w:sz w:val="24"/>
          <w:szCs w:val="24"/>
        </w:rPr>
        <w:t xml:space="preserve"> PA, Neuman M, </w:t>
      </w:r>
      <w:proofErr w:type="spellStart"/>
      <w:r w:rsidRPr="00D333A9">
        <w:rPr>
          <w:rFonts w:cs="Arial"/>
          <w:sz w:val="24"/>
          <w:szCs w:val="24"/>
        </w:rPr>
        <w:t>Kanteres</w:t>
      </w:r>
      <w:proofErr w:type="spellEnd"/>
      <w:r w:rsidRPr="00D333A9">
        <w:rPr>
          <w:rFonts w:cs="Arial"/>
          <w:sz w:val="24"/>
          <w:szCs w:val="24"/>
        </w:rPr>
        <w:t xml:space="preserve"> F, </w:t>
      </w:r>
      <w:proofErr w:type="spellStart"/>
      <w:r w:rsidRPr="00D333A9">
        <w:rPr>
          <w:rFonts w:cs="Arial"/>
          <w:sz w:val="24"/>
          <w:szCs w:val="24"/>
        </w:rPr>
        <w:t>Baliunas</w:t>
      </w:r>
      <w:proofErr w:type="spellEnd"/>
      <w:r w:rsidRPr="00D333A9">
        <w:rPr>
          <w:rFonts w:cs="Arial"/>
          <w:sz w:val="24"/>
          <w:szCs w:val="24"/>
        </w:rPr>
        <w:t xml:space="preserve"> D, </w:t>
      </w:r>
      <w:proofErr w:type="spellStart"/>
      <w:r w:rsidRPr="00D333A9">
        <w:rPr>
          <w:rFonts w:cs="Arial"/>
          <w:sz w:val="24"/>
          <w:szCs w:val="24"/>
        </w:rPr>
        <w:t>Joharchi</w:t>
      </w:r>
      <w:proofErr w:type="spellEnd"/>
      <w:r w:rsidRPr="00D333A9">
        <w:rPr>
          <w:rFonts w:cs="Arial"/>
          <w:sz w:val="24"/>
          <w:szCs w:val="24"/>
        </w:rPr>
        <w:t xml:space="preserve"> N, Rehm J. Causal considerations on alcohol and HIV/AIDS--a systematic review. Alcohol </w:t>
      </w:r>
      <w:proofErr w:type="spellStart"/>
      <w:r w:rsidRPr="00D333A9">
        <w:rPr>
          <w:rFonts w:cs="Arial"/>
          <w:sz w:val="24"/>
          <w:szCs w:val="24"/>
        </w:rPr>
        <w:t>Alcohol</w:t>
      </w:r>
      <w:proofErr w:type="spellEnd"/>
      <w:r w:rsidRPr="00D333A9">
        <w:rPr>
          <w:rFonts w:cs="Arial"/>
          <w:sz w:val="24"/>
          <w:szCs w:val="24"/>
        </w:rPr>
        <w:t xml:space="preserve"> 2010;45(2):159-66.</w:t>
      </w:r>
    </w:p>
    <w:p w:rsidR="00934E92" w:rsidRPr="00D333A9" w:rsidRDefault="00934E92" w:rsidP="00934E92">
      <w:pPr>
        <w:autoSpaceDE w:val="0"/>
        <w:autoSpaceDN w:val="0"/>
        <w:adjustRightInd w:val="0"/>
        <w:rPr>
          <w:rFonts w:cs="Arial"/>
          <w:sz w:val="24"/>
          <w:szCs w:val="24"/>
        </w:rPr>
      </w:pPr>
    </w:p>
    <w:p w:rsidR="00934E92" w:rsidRPr="00D333A9" w:rsidRDefault="00934E92" w:rsidP="00934E92">
      <w:pPr>
        <w:autoSpaceDE w:val="0"/>
        <w:autoSpaceDN w:val="0"/>
        <w:adjustRightInd w:val="0"/>
        <w:rPr>
          <w:rFonts w:cs="Arial"/>
          <w:sz w:val="24"/>
          <w:szCs w:val="24"/>
          <w:lang w:val="nl-NL"/>
        </w:rPr>
      </w:pPr>
      <w:proofErr w:type="spellStart"/>
      <w:r w:rsidRPr="00D333A9">
        <w:rPr>
          <w:rFonts w:cs="Arial"/>
          <w:sz w:val="24"/>
          <w:szCs w:val="24"/>
        </w:rPr>
        <w:t>Stockwell</w:t>
      </w:r>
      <w:proofErr w:type="spellEnd"/>
      <w:r w:rsidRPr="00D333A9">
        <w:rPr>
          <w:rFonts w:cs="Arial"/>
          <w:sz w:val="24"/>
          <w:szCs w:val="24"/>
        </w:rPr>
        <w:t xml:space="preserve"> T, Zhao J, Panwar S, Roemer A, </w:t>
      </w:r>
      <w:proofErr w:type="spellStart"/>
      <w:r w:rsidRPr="00D333A9">
        <w:rPr>
          <w:rFonts w:cs="Arial"/>
          <w:sz w:val="24"/>
          <w:szCs w:val="24"/>
        </w:rPr>
        <w:t>Naimi</w:t>
      </w:r>
      <w:proofErr w:type="spellEnd"/>
      <w:r w:rsidRPr="00D333A9">
        <w:rPr>
          <w:rFonts w:cs="Arial"/>
          <w:sz w:val="24"/>
          <w:szCs w:val="24"/>
        </w:rPr>
        <w:t xml:space="preserve"> T, </w:t>
      </w:r>
      <w:proofErr w:type="spellStart"/>
      <w:r w:rsidRPr="00D333A9">
        <w:rPr>
          <w:rFonts w:cs="Arial"/>
          <w:sz w:val="24"/>
          <w:szCs w:val="24"/>
        </w:rPr>
        <w:t>Chikritzhs</w:t>
      </w:r>
      <w:proofErr w:type="spellEnd"/>
      <w:r w:rsidRPr="00D333A9">
        <w:rPr>
          <w:rFonts w:cs="Arial"/>
          <w:sz w:val="24"/>
          <w:szCs w:val="24"/>
        </w:rPr>
        <w:t xml:space="preserve"> T. Do "Moderate" Drinkers Have Reduced Mortality Risk? A Systematic Review and Meta-Analysis of Alcohol Consumption and All-Cause Mortality. </w:t>
      </w:r>
      <w:r w:rsidRPr="00D333A9">
        <w:rPr>
          <w:rFonts w:cs="Arial"/>
          <w:sz w:val="24"/>
          <w:szCs w:val="24"/>
          <w:lang w:val="nl-NL"/>
        </w:rPr>
        <w:t>J Stud Alcohol Drugs 2016;77(2):185-98.</w:t>
      </w:r>
    </w:p>
    <w:p w:rsidR="00934E92" w:rsidRPr="00D333A9" w:rsidRDefault="00934E92" w:rsidP="00A85CA5">
      <w:pPr>
        <w:autoSpaceDE w:val="0"/>
        <w:autoSpaceDN w:val="0"/>
        <w:adjustRightInd w:val="0"/>
        <w:rPr>
          <w:rFonts w:cs="Arial"/>
          <w:sz w:val="24"/>
          <w:szCs w:val="24"/>
          <w:lang w:val="nl-NL"/>
        </w:rPr>
      </w:pPr>
    </w:p>
    <w:p w:rsidR="00934E92" w:rsidRPr="00F77A30" w:rsidRDefault="00934E92" w:rsidP="00A85CA5">
      <w:pPr>
        <w:autoSpaceDE w:val="0"/>
        <w:autoSpaceDN w:val="0"/>
        <w:adjustRightInd w:val="0"/>
        <w:rPr>
          <w:rFonts w:cs="Arial"/>
          <w:sz w:val="24"/>
          <w:szCs w:val="24"/>
        </w:rPr>
      </w:pPr>
      <w:r w:rsidRPr="00D333A9">
        <w:rPr>
          <w:rFonts w:cs="Arial"/>
          <w:sz w:val="24"/>
          <w:szCs w:val="24"/>
          <w:lang w:val="nl-NL"/>
        </w:rPr>
        <w:t xml:space="preserve">SWOV - </w:t>
      </w:r>
      <w:hyperlink r:id="rId22" w:history="1">
        <w:r w:rsidRPr="00D333A9">
          <w:rPr>
            <w:rFonts w:cs="Arial"/>
            <w:sz w:val="24"/>
            <w:szCs w:val="24"/>
            <w:lang w:val="nl-NL"/>
          </w:rPr>
          <w:t>Wetenschappelijk Onderzoek Verkeersveiligheid</w:t>
        </w:r>
      </w:hyperlink>
      <w:r w:rsidRPr="00D333A9">
        <w:rPr>
          <w:rFonts w:cs="Arial"/>
          <w:sz w:val="24"/>
          <w:szCs w:val="24"/>
          <w:lang w:val="nl-NL"/>
        </w:rPr>
        <w:t>. SWOV-</w:t>
      </w:r>
      <w:proofErr w:type="spellStart"/>
      <w:r w:rsidRPr="00D333A9">
        <w:rPr>
          <w:rFonts w:cs="Arial"/>
          <w:sz w:val="24"/>
          <w:szCs w:val="24"/>
          <w:lang w:val="nl-NL"/>
        </w:rPr>
        <w:t>Factsheet</w:t>
      </w:r>
      <w:proofErr w:type="spellEnd"/>
      <w:r w:rsidRPr="00D333A9">
        <w:rPr>
          <w:rFonts w:cs="Arial"/>
          <w:sz w:val="24"/>
          <w:szCs w:val="24"/>
          <w:lang w:val="nl-NL"/>
        </w:rPr>
        <w:t xml:space="preserve"> Rijden onder invloed van alcohol 2011. </w:t>
      </w:r>
      <w:proofErr w:type="spellStart"/>
      <w:r w:rsidRPr="00D333A9">
        <w:rPr>
          <w:rFonts w:cs="Arial"/>
          <w:sz w:val="24"/>
          <w:szCs w:val="24"/>
        </w:rPr>
        <w:t>Leidschendam</w:t>
      </w:r>
      <w:proofErr w:type="spellEnd"/>
      <w:r w:rsidRPr="00D333A9">
        <w:rPr>
          <w:rFonts w:cs="Arial"/>
          <w:sz w:val="24"/>
          <w:szCs w:val="24"/>
        </w:rPr>
        <w:t xml:space="preserve">. Internet: </w:t>
      </w:r>
      <w:hyperlink r:id="rId23" w:history="1">
        <w:r w:rsidRPr="00F77A30">
          <w:rPr>
            <w:rFonts w:cs="Arial"/>
            <w:sz w:val="24"/>
            <w:szCs w:val="24"/>
          </w:rPr>
          <w:t>file:///C:/Users/pht/Downloads/SWOV_Factsheet_Alcohol_2011.pdf</w:t>
        </w:r>
      </w:hyperlink>
    </w:p>
    <w:p w:rsidR="00934E92" w:rsidRPr="00D333A9" w:rsidRDefault="00934E92" w:rsidP="00A85CA5">
      <w:pPr>
        <w:autoSpaceDE w:val="0"/>
        <w:autoSpaceDN w:val="0"/>
        <w:adjustRightInd w:val="0"/>
        <w:rPr>
          <w:rFonts w:cs="Arial"/>
          <w:sz w:val="24"/>
          <w:szCs w:val="24"/>
        </w:rPr>
      </w:pPr>
    </w:p>
    <w:p w:rsidR="00934E92" w:rsidRPr="00D333A9" w:rsidRDefault="00934E92" w:rsidP="00A85CA5">
      <w:pPr>
        <w:autoSpaceDE w:val="0"/>
        <w:autoSpaceDN w:val="0"/>
        <w:adjustRightInd w:val="0"/>
        <w:rPr>
          <w:rFonts w:cs="Arial"/>
          <w:sz w:val="24"/>
          <w:szCs w:val="24"/>
          <w:lang w:val="nl-NL"/>
        </w:rPr>
      </w:pPr>
      <w:r w:rsidRPr="00D333A9">
        <w:rPr>
          <w:rFonts w:cs="Arial"/>
          <w:sz w:val="24"/>
          <w:szCs w:val="24"/>
          <w:lang w:val="nl-NL"/>
        </w:rPr>
        <w:t xml:space="preserve">VAD – Vlaams expertisecentrum voor Alcohol en andere Drugs.                                   Richtlijn voor alcoholgebruik 2016. Brussel: VAD. Internet: </w:t>
      </w:r>
      <w:hyperlink r:id="rId24" w:history="1">
        <w:r w:rsidRPr="006358DE">
          <w:rPr>
            <w:rFonts w:cs="Arial"/>
            <w:sz w:val="24"/>
            <w:szCs w:val="24"/>
            <w:lang w:val="nl-NL"/>
          </w:rPr>
          <w:t>http://www.vad.be/assets/richtlijn-voor-alcoholgebruik</w:t>
        </w:r>
      </w:hyperlink>
      <w:r w:rsidRPr="00D333A9">
        <w:rPr>
          <w:rFonts w:cs="Arial"/>
          <w:sz w:val="24"/>
          <w:szCs w:val="24"/>
          <w:lang w:val="nl-NL"/>
        </w:rPr>
        <w:t>.</w:t>
      </w:r>
    </w:p>
    <w:p w:rsidR="00934E92" w:rsidRPr="00D333A9" w:rsidRDefault="00934E92" w:rsidP="00934E92">
      <w:pPr>
        <w:autoSpaceDE w:val="0"/>
        <w:autoSpaceDN w:val="0"/>
        <w:adjustRightInd w:val="0"/>
        <w:rPr>
          <w:rFonts w:cs="Arial"/>
          <w:sz w:val="24"/>
          <w:szCs w:val="24"/>
          <w:lang w:val="nl-NL"/>
        </w:rPr>
      </w:pPr>
    </w:p>
    <w:p w:rsidR="00934E92" w:rsidRPr="00D333A9" w:rsidRDefault="00934E92" w:rsidP="00934E92">
      <w:pPr>
        <w:autoSpaceDE w:val="0"/>
        <w:autoSpaceDN w:val="0"/>
        <w:adjustRightInd w:val="0"/>
        <w:rPr>
          <w:rFonts w:cs="Arial"/>
          <w:sz w:val="24"/>
          <w:szCs w:val="24"/>
          <w:lang w:val="nl-NL"/>
        </w:rPr>
      </w:pPr>
      <w:r w:rsidRPr="005D32D9">
        <w:rPr>
          <w:rFonts w:cs="Arial"/>
          <w:sz w:val="24"/>
          <w:szCs w:val="24"/>
        </w:rPr>
        <w:t xml:space="preserve">Van Havere T, Dirkx N, Vander Laenen F, De Clercq B, Buijs T, Mathys C et al. </w:t>
      </w:r>
      <w:r w:rsidRPr="00D333A9">
        <w:rPr>
          <w:rFonts w:cs="Arial"/>
          <w:sz w:val="24"/>
          <w:szCs w:val="24"/>
        </w:rPr>
        <w:t xml:space="preserve">The Law of 2009 concerning the selling and serving of alcohol to youths: from state of the art to assessment (ALCOLAW). </w:t>
      </w:r>
      <w:proofErr w:type="spellStart"/>
      <w:r w:rsidRPr="00D333A9">
        <w:rPr>
          <w:rFonts w:cs="Arial"/>
          <w:sz w:val="24"/>
          <w:szCs w:val="24"/>
          <w:lang w:val="nl-NL"/>
        </w:rPr>
        <w:t>Final</w:t>
      </w:r>
      <w:proofErr w:type="spellEnd"/>
      <w:r w:rsidRPr="00D333A9">
        <w:rPr>
          <w:rFonts w:cs="Arial"/>
          <w:sz w:val="24"/>
          <w:szCs w:val="24"/>
          <w:lang w:val="nl-NL"/>
        </w:rPr>
        <w:t xml:space="preserve"> Report. Brussels: </w:t>
      </w:r>
      <w:proofErr w:type="spellStart"/>
      <w:r w:rsidRPr="00D333A9">
        <w:rPr>
          <w:rFonts w:cs="Arial"/>
          <w:sz w:val="24"/>
          <w:szCs w:val="24"/>
          <w:lang w:val="nl-NL"/>
        </w:rPr>
        <w:t>Belgian</w:t>
      </w:r>
      <w:proofErr w:type="spellEnd"/>
      <w:r w:rsidRPr="00D333A9">
        <w:rPr>
          <w:rFonts w:cs="Arial"/>
          <w:sz w:val="24"/>
          <w:szCs w:val="24"/>
          <w:lang w:val="nl-NL"/>
        </w:rPr>
        <w:t xml:space="preserve"> </w:t>
      </w:r>
      <w:proofErr w:type="spellStart"/>
      <w:r w:rsidRPr="00D333A9">
        <w:rPr>
          <w:rFonts w:cs="Arial"/>
          <w:sz w:val="24"/>
          <w:szCs w:val="24"/>
          <w:lang w:val="nl-NL"/>
        </w:rPr>
        <w:t>Science</w:t>
      </w:r>
      <w:proofErr w:type="spellEnd"/>
      <w:r w:rsidRPr="00D333A9">
        <w:rPr>
          <w:rFonts w:cs="Arial"/>
          <w:sz w:val="24"/>
          <w:szCs w:val="24"/>
          <w:lang w:val="nl-NL"/>
        </w:rPr>
        <w:t xml:space="preserve"> Policy 2017.</w:t>
      </w:r>
    </w:p>
    <w:p w:rsidR="00934E92" w:rsidRPr="00D333A9" w:rsidRDefault="00934E92" w:rsidP="00B757A7">
      <w:pPr>
        <w:autoSpaceDE w:val="0"/>
        <w:autoSpaceDN w:val="0"/>
        <w:adjustRightInd w:val="0"/>
        <w:rPr>
          <w:rFonts w:cs="Arial"/>
          <w:sz w:val="24"/>
          <w:szCs w:val="24"/>
          <w:lang w:val="nl-NL"/>
        </w:rPr>
      </w:pPr>
    </w:p>
    <w:p w:rsidR="00934E92" w:rsidRPr="00D333A9" w:rsidRDefault="00934E92" w:rsidP="00A85CA5">
      <w:pPr>
        <w:autoSpaceDE w:val="0"/>
        <w:autoSpaceDN w:val="0"/>
        <w:adjustRightInd w:val="0"/>
        <w:rPr>
          <w:rFonts w:cs="Arial"/>
          <w:sz w:val="24"/>
          <w:szCs w:val="24"/>
          <w:lang w:val="nl-NL"/>
        </w:rPr>
      </w:pPr>
      <w:r w:rsidRPr="00D333A9">
        <w:rPr>
          <w:rFonts w:cs="Arial"/>
          <w:sz w:val="24"/>
          <w:szCs w:val="24"/>
          <w:lang w:val="nl-NL"/>
        </w:rPr>
        <w:t xml:space="preserve">Van </w:t>
      </w:r>
      <w:proofErr w:type="spellStart"/>
      <w:r w:rsidRPr="00D333A9">
        <w:rPr>
          <w:rFonts w:cs="Arial"/>
          <w:sz w:val="24"/>
          <w:szCs w:val="24"/>
          <w:lang w:val="nl-NL"/>
        </w:rPr>
        <w:t>Thienen</w:t>
      </w:r>
      <w:proofErr w:type="spellEnd"/>
      <w:r w:rsidRPr="00D333A9">
        <w:rPr>
          <w:rFonts w:cs="Arial"/>
          <w:sz w:val="24"/>
          <w:szCs w:val="24"/>
          <w:lang w:val="nl-NL"/>
        </w:rPr>
        <w:t xml:space="preserve"> B, </w:t>
      </w:r>
      <w:proofErr w:type="spellStart"/>
      <w:r w:rsidRPr="00D333A9">
        <w:rPr>
          <w:rFonts w:cs="Arial"/>
          <w:sz w:val="24"/>
          <w:szCs w:val="24"/>
          <w:lang w:val="nl-NL"/>
        </w:rPr>
        <w:t>Stinckens</w:t>
      </w:r>
      <w:proofErr w:type="spellEnd"/>
      <w:r w:rsidRPr="00D333A9">
        <w:rPr>
          <w:rFonts w:cs="Arial"/>
          <w:sz w:val="24"/>
          <w:szCs w:val="24"/>
          <w:lang w:val="nl-NL"/>
        </w:rPr>
        <w:t xml:space="preserve"> K. Verkeer op punt: alcoholprocedure 2013.  Kortrijk-</w:t>
      </w:r>
      <w:proofErr w:type="spellStart"/>
      <w:r w:rsidRPr="00D333A9">
        <w:rPr>
          <w:rFonts w:cs="Arial"/>
          <w:sz w:val="24"/>
          <w:szCs w:val="24"/>
          <w:lang w:val="nl-NL"/>
        </w:rPr>
        <w:t>Heule</w:t>
      </w:r>
      <w:proofErr w:type="spellEnd"/>
      <w:r w:rsidRPr="00D333A9">
        <w:rPr>
          <w:rFonts w:cs="Arial"/>
          <w:sz w:val="24"/>
          <w:szCs w:val="24"/>
          <w:lang w:val="nl-NL"/>
        </w:rPr>
        <w:t>; UGA.</w:t>
      </w:r>
    </w:p>
    <w:p w:rsidR="00934E92" w:rsidRPr="00D333A9" w:rsidRDefault="00934E92" w:rsidP="00A85CA5">
      <w:pPr>
        <w:autoSpaceDE w:val="0"/>
        <w:autoSpaceDN w:val="0"/>
        <w:adjustRightInd w:val="0"/>
        <w:rPr>
          <w:rFonts w:cs="Arial"/>
          <w:sz w:val="24"/>
          <w:szCs w:val="24"/>
          <w:lang w:val="nl-NL"/>
        </w:rPr>
      </w:pPr>
    </w:p>
    <w:p w:rsidR="00934E92" w:rsidRPr="00D333A9" w:rsidRDefault="00934E92" w:rsidP="00A85CA5">
      <w:pPr>
        <w:autoSpaceDE w:val="0"/>
        <w:autoSpaceDN w:val="0"/>
        <w:adjustRightInd w:val="0"/>
        <w:rPr>
          <w:rFonts w:cs="Arial"/>
          <w:sz w:val="24"/>
          <w:szCs w:val="24"/>
        </w:rPr>
      </w:pPr>
      <w:proofErr w:type="spellStart"/>
      <w:r w:rsidRPr="00D333A9">
        <w:rPr>
          <w:rFonts w:cs="Arial"/>
          <w:sz w:val="24"/>
          <w:szCs w:val="24"/>
        </w:rPr>
        <w:t>van’t</w:t>
      </w:r>
      <w:proofErr w:type="spellEnd"/>
      <w:r w:rsidRPr="00D333A9">
        <w:rPr>
          <w:rFonts w:cs="Arial"/>
          <w:sz w:val="24"/>
          <w:szCs w:val="24"/>
        </w:rPr>
        <w:t xml:space="preserve"> Veer P, </w:t>
      </w:r>
      <w:proofErr w:type="spellStart"/>
      <w:r w:rsidRPr="00D333A9">
        <w:rPr>
          <w:rFonts w:cs="Arial"/>
          <w:sz w:val="24"/>
          <w:szCs w:val="24"/>
        </w:rPr>
        <w:t>Kampman</w:t>
      </w:r>
      <w:proofErr w:type="spellEnd"/>
      <w:r w:rsidRPr="00D333A9">
        <w:rPr>
          <w:rFonts w:cs="Arial"/>
          <w:sz w:val="24"/>
          <w:szCs w:val="24"/>
        </w:rPr>
        <w:t xml:space="preserve"> E: Food, Nutrition, Physical Activity, and the Prevention of Cancer: A Global Perspective. Washington, DC, World Cancer Research Fund/American Institute for Cancer Research; 2007.</w:t>
      </w:r>
    </w:p>
    <w:p w:rsidR="00934E92" w:rsidRPr="00D333A9" w:rsidRDefault="00934E92" w:rsidP="00A85CA5">
      <w:pPr>
        <w:autoSpaceDE w:val="0"/>
        <w:autoSpaceDN w:val="0"/>
        <w:adjustRightInd w:val="0"/>
        <w:rPr>
          <w:rFonts w:cs="Arial"/>
          <w:sz w:val="24"/>
          <w:szCs w:val="24"/>
        </w:rPr>
      </w:pPr>
    </w:p>
    <w:p w:rsidR="006358DE" w:rsidRDefault="00934E92" w:rsidP="00A85CA5">
      <w:pPr>
        <w:autoSpaceDE w:val="0"/>
        <w:autoSpaceDN w:val="0"/>
        <w:adjustRightInd w:val="0"/>
        <w:rPr>
          <w:rFonts w:cs="Arial"/>
          <w:sz w:val="24"/>
          <w:szCs w:val="24"/>
        </w:rPr>
      </w:pPr>
      <w:r w:rsidRPr="00D333A9">
        <w:rPr>
          <w:rFonts w:cs="Arial"/>
          <w:sz w:val="24"/>
          <w:szCs w:val="24"/>
        </w:rPr>
        <w:t xml:space="preserve">WHO – World Health Organization, Global status report on alcohol and health 2014; Luxembourg. </w:t>
      </w:r>
    </w:p>
    <w:p w:rsidR="00934E92" w:rsidRPr="00D333A9" w:rsidRDefault="006358DE" w:rsidP="00A85CA5">
      <w:pPr>
        <w:autoSpaceDE w:val="0"/>
        <w:autoSpaceDN w:val="0"/>
        <w:adjustRightInd w:val="0"/>
        <w:rPr>
          <w:rFonts w:cs="Arial"/>
          <w:sz w:val="24"/>
          <w:szCs w:val="24"/>
        </w:rPr>
      </w:pPr>
      <w:r>
        <w:rPr>
          <w:rFonts w:cs="Arial"/>
          <w:sz w:val="24"/>
          <w:szCs w:val="24"/>
        </w:rPr>
        <w:t>Internet:</w:t>
      </w:r>
      <w:hyperlink r:id="rId25" w:history="1">
        <w:r w:rsidR="00934E92" w:rsidRPr="006358DE">
          <w:rPr>
            <w:rFonts w:cs="Arial"/>
            <w:sz w:val="24"/>
            <w:szCs w:val="24"/>
          </w:rPr>
          <w:t>http://apps.who.int/iris/bitstream/10665/112736/1/9789240692763_eng.pdf?ua=1&amp;ua=1</w:t>
        </w:r>
      </w:hyperlink>
    </w:p>
    <w:p w:rsidR="00934E92" w:rsidRPr="00D333A9" w:rsidRDefault="00934E92" w:rsidP="00A85CA5">
      <w:pPr>
        <w:autoSpaceDE w:val="0"/>
        <w:autoSpaceDN w:val="0"/>
        <w:adjustRightInd w:val="0"/>
        <w:rPr>
          <w:rFonts w:cs="Arial"/>
          <w:sz w:val="24"/>
          <w:szCs w:val="24"/>
        </w:rPr>
      </w:pPr>
    </w:p>
    <w:p w:rsidR="00934E92" w:rsidRPr="00D333A9" w:rsidRDefault="00934E92" w:rsidP="00A85CA5">
      <w:pPr>
        <w:autoSpaceDE w:val="0"/>
        <w:autoSpaceDN w:val="0"/>
        <w:adjustRightInd w:val="0"/>
        <w:rPr>
          <w:rFonts w:cs="Arial"/>
          <w:sz w:val="24"/>
          <w:szCs w:val="24"/>
        </w:rPr>
      </w:pPr>
      <w:r w:rsidRPr="00D333A9">
        <w:rPr>
          <w:rFonts w:cs="Arial"/>
          <w:sz w:val="24"/>
          <w:szCs w:val="24"/>
        </w:rPr>
        <w:t xml:space="preserve">WHO – World Health Organization, </w:t>
      </w:r>
      <w:proofErr w:type="spellStart"/>
      <w:r w:rsidRPr="00D333A9">
        <w:rPr>
          <w:rFonts w:cs="Arial"/>
          <w:sz w:val="24"/>
          <w:szCs w:val="24"/>
        </w:rPr>
        <w:t>Hengeveld</w:t>
      </w:r>
      <w:proofErr w:type="spellEnd"/>
      <w:r w:rsidRPr="00D333A9">
        <w:rPr>
          <w:rFonts w:cs="Arial"/>
          <w:sz w:val="24"/>
          <w:szCs w:val="24"/>
        </w:rPr>
        <w:t xml:space="preserve"> MW. </w:t>
      </w:r>
      <w:r w:rsidRPr="00D333A9">
        <w:rPr>
          <w:rFonts w:cs="Arial"/>
          <w:sz w:val="24"/>
          <w:szCs w:val="24"/>
          <w:lang w:val="nl-NL"/>
        </w:rPr>
        <w:t xml:space="preserve">De ICD-10 classificatie van psychische stoornissen en gedragsstoornissen. </w:t>
      </w:r>
      <w:proofErr w:type="spellStart"/>
      <w:r w:rsidRPr="00D333A9">
        <w:rPr>
          <w:rFonts w:cs="Arial"/>
          <w:sz w:val="24"/>
          <w:szCs w:val="24"/>
        </w:rPr>
        <w:t>Kopenhagen</w:t>
      </w:r>
      <w:proofErr w:type="spellEnd"/>
      <w:r w:rsidRPr="00D333A9">
        <w:rPr>
          <w:rFonts w:cs="Arial"/>
          <w:sz w:val="24"/>
          <w:szCs w:val="24"/>
        </w:rPr>
        <w:t>: WHO Regional Office for Europe; 1994.</w:t>
      </w:r>
    </w:p>
    <w:p w:rsidR="00934E92" w:rsidRPr="00D333A9" w:rsidRDefault="00934E92" w:rsidP="00B757A7">
      <w:pPr>
        <w:autoSpaceDE w:val="0"/>
        <w:autoSpaceDN w:val="0"/>
        <w:adjustRightInd w:val="0"/>
        <w:rPr>
          <w:rFonts w:cs="Arial"/>
          <w:sz w:val="24"/>
          <w:szCs w:val="24"/>
        </w:rPr>
      </w:pPr>
    </w:p>
    <w:p w:rsidR="00934E92" w:rsidRPr="00D333A9" w:rsidRDefault="00934E92" w:rsidP="00B757A7">
      <w:pPr>
        <w:autoSpaceDE w:val="0"/>
        <w:autoSpaceDN w:val="0"/>
        <w:adjustRightInd w:val="0"/>
        <w:rPr>
          <w:rFonts w:cs="Arial"/>
          <w:sz w:val="24"/>
          <w:szCs w:val="24"/>
        </w:rPr>
      </w:pPr>
      <w:r w:rsidRPr="00D333A9">
        <w:rPr>
          <w:rFonts w:cs="Arial"/>
          <w:sz w:val="24"/>
          <w:szCs w:val="24"/>
        </w:rPr>
        <w:t>Wise J. Minimum alcohol price would target harmful drinkers, study shows. BMJ 2014;</w:t>
      </w:r>
      <w:proofErr w:type="gramStart"/>
      <w:r w:rsidRPr="00D333A9">
        <w:rPr>
          <w:rFonts w:cs="Arial"/>
          <w:sz w:val="24"/>
          <w:szCs w:val="24"/>
        </w:rPr>
        <w:t>348:g</w:t>
      </w:r>
      <w:proofErr w:type="gramEnd"/>
      <w:r w:rsidRPr="00D333A9">
        <w:rPr>
          <w:rFonts w:cs="Arial"/>
          <w:sz w:val="24"/>
          <w:szCs w:val="24"/>
        </w:rPr>
        <w:t>1450.</w:t>
      </w:r>
    </w:p>
    <w:p w:rsidR="00C259DA" w:rsidRPr="00D333A9" w:rsidRDefault="00C259DA" w:rsidP="00B757A7">
      <w:pPr>
        <w:autoSpaceDE w:val="0"/>
        <w:autoSpaceDN w:val="0"/>
        <w:adjustRightInd w:val="0"/>
        <w:rPr>
          <w:rFonts w:cs="Arial"/>
          <w:sz w:val="24"/>
          <w:szCs w:val="24"/>
        </w:rPr>
      </w:pPr>
    </w:p>
    <w:p w:rsidR="00C259DA" w:rsidRPr="00D333A9" w:rsidRDefault="00C259DA" w:rsidP="00C259DA">
      <w:pPr>
        <w:autoSpaceDE w:val="0"/>
        <w:autoSpaceDN w:val="0"/>
        <w:adjustRightInd w:val="0"/>
        <w:rPr>
          <w:rFonts w:cs="Arial"/>
          <w:sz w:val="24"/>
          <w:szCs w:val="24"/>
        </w:rPr>
      </w:pPr>
      <w:r w:rsidRPr="0055220F">
        <w:rPr>
          <w:rFonts w:cs="Arial"/>
          <w:sz w:val="24"/>
          <w:szCs w:val="24"/>
        </w:rPr>
        <w:t xml:space="preserve">Wood AM, </w:t>
      </w:r>
      <w:proofErr w:type="spellStart"/>
      <w:r w:rsidRPr="0055220F">
        <w:rPr>
          <w:rFonts w:cs="Arial"/>
          <w:sz w:val="24"/>
          <w:szCs w:val="24"/>
        </w:rPr>
        <w:t>Kaptoge</w:t>
      </w:r>
      <w:proofErr w:type="spellEnd"/>
      <w:r w:rsidRPr="0055220F">
        <w:rPr>
          <w:rFonts w:cs="Arial"/>
          <w:sz w:val="24"/>
          <w:szCs w:val="24"/>
        </w:rPr>
        <w:t xml:space="preserve"> </w:t>
      </w:r>
      <w:proofErr w:type="gramStart"/>
      <w:r w:rsidRPr="0055220F">
        <w:rPr>
          <w:rFonts w:cs="Arial"/>
          <w:sz w:val="24"/>
          <w:szCs w:val="24"/>
        </w:rPr>
        <w:t>S ,</w:t>
      </w:r>
      <w:proofErr w:type="gramEnd"/>
      <w:r w:rsidRPr="0055220F">
        <w:rPr>
          <w:rFonts w:cs="Arial"/>
          <w:sz w:val="24"/>
          <w:szCs w:val="24"/>
        </w:rPr>
        <w:t xml:space="preserve"> Butterworth AS, </w:t>
      </w:r>
      <w:proofErr w:type="spellStart"/>
      <w:r w:rsidRPr="0055220F">
        <w:rPr>
          <w:rFonts w:cs="Arial"/>
          <w:sz w:val="24"/>
          <w:szCs w:val="24"/>
        </w:rPr>
        <w:t>Willeit</w:t>
      </w:r>
      <w:proofErr w:type="spellEnd"/>
      <w:r w:rsidRPr="0055220F">
        <w:rPr>
          <w:rFonts w:cs="Arial"/>
          <w:sz w:val="24"/>
          <w:szCs w:val="24"/>
        </w:rPr>
        <w:t xml:space="preserve"> P, </w:t>
      </w:r>
      <w:proofErr w:type="spellStart"/>
      <w:r w:rsidRPr="0055220F">
        <w:rPr>
          <w:rFonts w:cs="Arial"/>
          <w:sz w:val="24"/>
          <w:szCs w:val="24"/>
        </w:rPr>
        <w:t>Warnakula</w:t>
      </w:r>
      <w:proofErr w:type="spellEnd"/>
      <w:r w:rsidRPr="0055220F">
        <w:rPr>
          <w:rFonts w:cs="Arial"/>
          <w:sz w:val="24"/>
          <w:szCs w:val="24"/>
        </w:rPr>
        <w:t xml:space="preserve"> S, Bolton T. et al. Risk thresholds for alcohol consumption: combined analysis of individual-participant data for 599912 current drinkers in 83 prospective studies. Lancet 2018; 391: 1513-23</w:t>
      </w:r>
    </w:p>
    <w:p w:rsidR="00934E92" w:rsidRPr="00D333A9" w:rsidRDefault="00934E92" w:rsidP="00B757A7">
      <w:pPr>
        <w:autoSpaceDE w:val="0"/>
        <w:autoSpaceDN w:val="0"/>
        <w:adjustRightInd w:val="0"/>
        <w:rPr>
          <w:rFonts w:cs="Arial"/>
          <w:sz w:val="24"/>
          <w:szCs w:val="24"/>
        </w:rPr>
      </w:pPr>
    </w:p>
    <w:p w:rsidR="00934E92" w:rsidRPr="00D333A9" w:rsidRDefault="00934E92" w:rsidP="00B757A7">
      <w:pPr>
        <w:autoSpaceDE w:val="0"/>
        <w:autoSpaceDN w:val="0"/>
        <w:adjustRightInd w:val="0"/>
        <w:rPr>
          <w:rFonts w:cs="Arial"/>
          <w:sz w:val="24"/>
          <w:szCs w:val="24"/>
        </w:rPr>
      </w:pPr>
      <w:r w:rsidRPr="00D333A9">
        <w:rPr>
          <w:rFonts w:cs="Arial"/>
          <w:sz w:val="24"/>
          <w:szCs w:val="24"/>
        </w:rPr>
        <w:t xml:space="preserve">Xi B, </w:t>
      </w:r>
      <w:proofErr w:type="spellStart"/>
      <w:r w:rsidRPr="00D333A9">
        <w:rPr>
          <w:rFonts w:cs="Arial"/>
          <w:sz w:val="24"/>
          <w:szCs w:val="24"/>
        </w:rPr>
        <w:t>Veeranki</w:t>
      </w:r>
      <w:proofErr w:type="spellEnd"/>
      <w:r w:rsidRPr="00D333A9">
        <w:rPr>
          <w:rFonts w:cs="Arial"/>
          <w:sz w:val="24"/>
          <w:szCs w:val="24"/>
        </w:rPr>
        <w:t xml:space="preserve"> SP, Zhao M, Ma C, Yan Y, Mi J. Relationship of Alcohol Consumption to All-Cause, Cardiovascular, and Cancer-Related Mortality in U.S. Adults. J Am Coll </w:t>
      </w:r>
      <w:proofErr w:type="spellStart"/>
      <w:r w:rsidRPr="00D333A9">
        <w:rPr>
          <w:rFonts w:cs="Arial"/>
          <w:sz w:val="24"/>
          <w:szCs w:val="24"/>
        </w:rPr>
        <w:t>Cardiol</w:t>
      </w:r>
      <w:proofErr w:type="spellEnd"/>
      <w:r w:rsidRPr="00D333A9">
        <w:rPr>
          <w:rFonts w:cs="Arial"/>
          <w:sz w:val="24"/>
          <w:szCs w:val="24"/>
        </w:rPr>
        <w:t xml:space="preserve"> 2017;70(8):913-22.</w:t>
      </w:r>
    </w:p>
    <w:p w:rsidR="00934E92" w:rsidRPr="00D333A9" w:rsidRDefault="00934E92" w:rsidP="00934E92">
      <w:pPr>
        <w:autoSpaceDE w:val="0"/>
        <w:autoSpaceDN w:val="0"/>
        <w:adjustRightInd w:val="0"/>
        <w:rPr>
          <w:rFonts w:cs="Arial"/>
          <w:sz w:val="24"/>
          <w:szCs w:val="24"/>
        </w:rPr>
      </w:pPr>
    </w:p>
    <w:p w:rsidR="00934E92" w:rsidRDefault="00934E92" w:rsidP="00934E92">
      <w:pPr>
        <w:autoSpaceDE w:val="0"/>
        <w:autoSpaceDN w:val="0"/>
        <w:adjustRightInd w:val="0"/>
        <w:rPr>
          <w:rFonts w:cs="Arial"/>
          <w:sz w:val="24"/>
          <w:szCs w:val="24"/>
        </w:rPr>
      </w:pPr>
      <w:r w:rsidRPr="00D333A9">
        <w:rPr>
          <w:rFonts w:cs="Arial"/>
          <w:sz w:val="24"/>
          <w:szCs w:val="24"/>
        </w:rPr>
        <w:t xml:space="preserve">Zhao J, </w:t>
      </w:r>
      <w:proofErr w:type="spellStart"/>
      <w:r w:rsidRPr="00D333A9">
        <w:rPr>
          <w:rFonts w:cs="Arial"/>
          <w:sz w:val="24"/>
          <w:szCs w:val="24"/>
        </w:rPr>
        <w:t>Stockwell</w:t>
      </w:r>
      <w:proofErr w:type="spellEnd"/>
      <w:r w:rsidRPr="00D333A9">
        <w:rPr>
          <w:rFonts w:cs="Arial"/>
          <w:sz w:val="24"/>
          <w:szCs w:val="24"/>
        </w:rPr>
        <w:t xml:space="preserve"> T, Roemer A, </w:t>
      </w:r>
      <w:proofErr w:type="spellStart"/>
      <w:r w:rsidRPr="00D333A9">
        <w:rPr>
          <w:rFonts w:cs="Arial"/>
          <w:sz w:val="24"/>
          <w:szCs w:val="24"/>
        </w:rPr>
        <w:t>Naimi</w:t>
      </w:r>
      <w:proofErr w:type="spellEnd"/>
      <w:r w:rsidRPr="00D333A9">
        <w:rPr>
          <w:rFonts w:cs="Arial"/>
          <w:sz w:val="24"/>
          <w:szCs w:val="24"/>
        </w:rPr>
        <w:t xml:space="preserve"> T, </w:t>
      </w:r>
      <w:proofErr w:type="spellStart"/>
      <w:r w:rsidRPr="00D333A9">
        <w:rPr>
          <w:rFonts w:cs="Arial"/>
          <w:sz w:val="24"/>
          <w:szCs w:val="24"/>
        </w:rPr>
        <w:t>Chikritzhs</w:t>
      </w:r>
      <w:proofErr w:type="spellEnd"/>
      <w:r w:rsidRPr="00D333A9">
        <w:rPr>
          <w:rFonts w:cs="Arial"/>
          <w:sz w:val="24"/>
          <w:szCs w:val="24"/>
        </w:rPr>
        <w:t xml:space="preserve"> T. Alcohol Consumption and Mortality </w:t>
      </w:r>
      <w:proofErr w:type="gramStart"/>
      <w:r w:rsidRPr="00D333A9">
        <w:rPr>
          <w:rFonts w:cs="Arial"/>
          <w:sz w:val="24"/>
          <w:szCs w:val="24"/>
        </w:rPr>
        <w:t>From</w:t>
      </w:r>
      <w:proofErr w:type="gramEnd"/>
      <w:r w:rsidRPr="00D333A9">
        <w:rPr>
          <w:rFonts w:cs="Arial"/>
          <w:sz w:val="24"/>
          <w:szCs w:val="24"/>
        </w:rPr>
        <w:t xml:space="preserve"> Coronary Heart Disease: An Updated Meta-Analysis of Cohort Studies. J Stud Alcohol Drugs 2017;78(3):375-86.</w:t>
      </w:r>
    </w:p>
    <w:p w:rsidR="00650425" w:rsidRDefault="00650425" w:rsidP="00934E92">
      <w:pPr>
        <w:autoSpaceDE w:val="0"/>
        <w:autoSpaceDN w:val="0"/>
        <w:adjustRightInd w:val="0"/>
        <w:rPr>
          <w:rFonts w:cs="Arial"/>
          <w:sz w:val="24"/>
          <w:szCs w:val="24"/>
        </w:rPr>
      </w:pPr>
    </w:p>
    <w:p w:rsidR="009B295D" w:rsidRDefault="009B295D" w:rsidP="00934E92">
      <w:pPr>
        <w:autoSpaceDE w:val="0"/>
        <w:autoSpaceDN w:val="0"/>
        <w:adjustRightInd w:val="0"/>
        <w:rPr>
          <w:rFonts w:cs="Arial"/>
          <w:sz w:val="24"/>
          <w:szCs w:val="24"/>
        </w:rPr>
      </w:pPr>
    </w:p>
    <w:p w:rsidR="009B295D" w:rsidRDefault="009B295D" w:rsidP="00934E92">
      <w:pPr>
        <w:autoSpaceDE w:val="0"/>
        <w:autoSpaceDN w:val="0"/>
        <w:adjustRightInd w:val="0"/>
        <w:rPr>
          <w:rFonts w:cs="Arial"/>
          <w:sz w:val="24"/>
          <w:szCs w:val="24"/>
        </w:rPr>
      </w:pPr>
    </w:p>
    <w:p w:rsidR="009B295D" w:rsidRDefault="009B295D" w:rsidP="00934E92">
      <w:pPr>
        <w:autoSpaceDE w:val="0"/>
        <w:autoSpaceDN w:val="0"/>
        <w:adjustRightInd w:val="0"/>
        <w:rPr>
          <w:rFonts w:cs="Arial"/>
          <w:sz w:val="24"/>
          <w:szCs w:val="24"/>
        </w:rPr>
      </w:pPr>
    </w:p>
    <w:p w:rsidR="009B295D" w:rsidRDefault="009B295D" w:rsidP="00934E92">
      <w:pPr>
        <w:autoSpaceDE w:val="0"/>
        <w:autoSpaceDN w:val="0"/>
        <w:adjustRightInd w:val="0"/>
        <w:rPr>
          <w:rFonts w:cs="Arial"/>
          <w:sz w:val="24"/>
          <w:szCs w:val="24"/>
        </w:rPr>
      </w:pPr>
    </w:p>
    <w:p w:rsidR="009B295D" w:rsidRDefault="009B295D" w:rsidP="00934E92">
      <w:pPr>
        <w:autoSpaceDE w:val="0"/>
        <w:autoSpaceDN w:val="0"/>
        <w:adjustRightInd w:val="0"/>
        <w:rPr>
          <w:rFonts w:cs="Arial"/>
          <w:sz w:val="24"/>
          <w:szCs w:val="24"/>
        </w:rPr>
      </w:pPr>
    </w:p>
    <w:p w:rsidR="009B295D" w:rsidRDefault="009B295D" w:rsidP="00934E92">
      <w:pPr>
        <w:autoSpaceDE w:val="0"/>
        <w:autoSpaceDN w:val="0"/>
        <w:adjustRightInd w:val="0"/>
        <w:rPr>
          <w:rFonts w:cs="Arial"/>
          <w:sz w:val="24"/>
          <w:szCs w:val="24"/>
        </w:rPr>
      </w:pPr>
    </w:p>
    <w:p w:rsidR="009B295D" w:rsidRDefault="009B295D" w:rsidP="00934E92">
      <w:pPr>
        <w:autoSpaceDE w:val="0"/>
        <w:autoSpaceDN w:val="0"/>
        <w:adjustRightInd w:val="0"/>
        <w:rPr>
          <w:rFonts w:cs="Arial"/>
          <w:sz w:val="24"/>
          <w:szCs w:val="24"/>
        </w:rPr>
      </w:pPr>
    </w:p>
    <w:p w:rsidR="009B295D" w:rsidRDefault="009B295D" w:rsidP="00934E92">
      <w:pPr>
        <w:autoSpaceDE w:val="0"/>
        <w:autoSpaceDN w:val="0"/>
        <w:adjustRightInd w:val="0"/>
        <w:rPr>
          <w:rFonts w:cs="Arial"/>
          <w:sz w:val="24"/>
          <w:szCs w:val="24"/>
        </w:rPr>
      </w:pPr>
    </w:p>
    <w:p w:rsidR="009B295D" w:rsidRDefault="009B295D" w:rsidP="00934E92">
      <w:pPr>
        <w:autoSpaceDE w:val="0"/>
        <w:autoSpaceDN w:val="0"/>
        <w:adjustRightInd w:val="0"/>
        <w:rPr>
          <w:rFonts w:cs="Arial"/>
          <w:sz w:val="24"/>
          <w:szCs w:val="24"/>
        </w:rPr>
      </w:pPr>
    </w:p>
    <w:p w:rsidR="009B295D" w:rsidRDefault="009B295D" w:rsidP="00934E92">
      <w:pPr>
        <w:autoSpaceDE w:val="0"/>
        <w:autoSpaceDN w:val="0"/>
        <w:adjustRightInd w:val="0"/>
        <w:rPr>
          <w:rFonts w:cs="Arial"/>
          <w:sz w:val="24"/>
          <w:szCs w:val="24"/>
        </w:rPr>
      </w:pPr>
    </w:p>
    <w:p w:rsidR="009B295D" w:rsidRDefault="009B295D" w:rsidP="00934E92">
      <w:pPr>
        <w:autoSpaceDE w:val="0"/>
        <w:autoSpaceDN w:val="0"/>
        <w:adjustRightInd w:val="0"/>
        <w:rPr>
          <w:rFonts w:cs="Arial"/>
          <w:sz w:val="24"/>
          <w:szCs w:val="24"/>
        </w:rPr>
      </w:pPr>
    </w:p>
    <w:p w:rsidR="009B295D" w:rsidRDefault="009B295D" w:rsidP="00934E92">
      <w:pPr>
        <w:autoSpaceDE w:val="0"/>
        <w:autoSpaceDN w:val="0"/>
        <w:adjustRightInd w:val="0"/>
        <w:rPr>
          <w:rFonts w:cs="Arial"/>
          <w:sz w:val="24"/>
          <w:szCs w:val="24"/>
        </w:rPr>
      </w:pPr>
    </w:p>
    <w:p w:rsidR="009B295D" w:rsidRDefault="009B295D" w:rsidP="00934E92">
      <w:pPr>
        <w:autoSpaceDE w:val="0"/>
        <w:autoSpaceDN w:val="0"/>
        <w:adjustRightInd w:val="0"/>
        <w:rPr>
          <w:rFonts w:cs="Arial"/>
          <w:sz w:val="24"/>
          <w:szCs w:val="24"/>
        </w:rPr>
      </w:pPr>
    </w:p>
    <w:p w:rsidR="009B295D" w:rsidRDefault="009B295D" w:rsidP="00934E92">
      <w:pPr>
        <w:autoSpaceDE w:val="0"/>
        <w:autoSpaceDN w:val="0"/>
        <w:adjustRightInd w:val="0"/>
        <w:rPr>
          <w:rFonts w:cs="Arial"/>
          <w:sz w:val="24"/>
          <w:szCs w:val="24"/>
        </w:rPr>
      </w:pPr>
    </w:p>
    <w:p w:rsidR="009B295D" w:rsidRDefault="009B295D" w:rsidP="00934E92">
      <w:pPr>
        <w:autoSpaceDE w:val="0"/>
        <w:autoSpaceDN w:val="0"/>
        <w:adjustRightInd w:val="0"/>
        <w:rPr>
          <w:rFonts w:cs="Arial"/>
          <w:sz w:val="24"/>
          <w:szCs w:val="24"/>
        </w:rPr>
      </w:pPr>
    </w:p>
    <w:p w:rsidR="009B295D" w:rsidRPr="00D333A9" w:rsidRDefault="009B295D" w:rsidP="00934E92">
      <w:pPr>
        <w:autoSpaceDE w:val="0"/>
        <w:autoSpaceDN w:val="0"/>
        <w:adjustRightInd w:val="0"/>
        <w:rPr>
          <w:rFonts w:cs="Arial"/>
          <w:sz w:val="24"/>
          <w:szCs w:val="24"/>
        </w:rPr>
      </w:pPr>
    </w:p>
    <w:p w:rsidR="00A85CA5" w:rsidRPr="00D333A9" w:rsidRDefault="00A85CA5" w:rsidP="00934E92">
      <w:pPr>
        <w:autoSpaceDE w:val="0"/>
        <w:autoSpaceDN w:val="0"/>
        <w:adjustRightInd w:val="0"/>
        <w:rPr>
          <w:rFonts w:cs="Arial"/>
          <w:sz w:val="24"/>
          <w:szCs w:val="24"/>
        </w:rPr>
      </w:pPr>
    </w:p>
    <w:p w:rsidR="00241522" w:rsidRPr="00D333A9" w:rsidRDefault="00241522" w:rsidP="00750DA6">
      <w:pPr>
        <w:pStyle w:val="Titre1"/>
        <w:rPr>
          <w:lang w:val="fr-BE"/>
        </w:rPr>
      </w:pPr>
      <w:r w:rsidRPr="00D333A9">
        <w:rPr>
          <w:lang w:val="fr-BE"/>
        </w:rPr>
        <w:t>Composition du groupe de travail</w:t>
      </w:r>
    </w:p>
    <w:p w:rsidR="002940D1" w:rsidRPr="00D333A9" w:rsidRDefault="002940D1" w:rsidP="00650425">
      <w:pPr>
        <w:widowControl w:val="0"/>
        <w:contextualSpacing/>
        <w:rPr>
          <w:lang w:val="fr-BE"/>
        </w:rPr>
      </w:pPr>
      <w:r w:rsidRPr="00D333A9">
        <w:rPr>
          <w:lang w:val="fr-BE"/>
        </w:rPr>
        <w:t>Les experts suivants ont participé à l’élaboration et à l’appr</w:t>
      </w:r>
      <w:r w:rsidR="00650425">
        <w:rPr>
          <w:lang w:val="fr-BE"/>
        </w:rPr>
        <w:t xml:space="preserve">obation de l’avis. Le groupe de </w:t>
      </w:r>
      <w:r w:rsidRPr="00D333A9">
        <w:rPr>
          <w:lang w:val="fr-BE"/>
        </w:rPr>
        <w:t>travail</w:t>
      </w:r>
      <w:r w:rsidR="00650425">
        <w:rPr>
          <w:lang w:val="fr-BE"/>
        </w:rPr>
        <w:t xml:space="preserve"> </w:t>
      </w:r>
      <w:r w:rsidRPr="00D333A9">
        <w:rPr>
          <w:lang w:val="fr-BE"/>
        </w:rPr>
        <w:t>a été présidé par</w:t>
      </w:r>
      <w:r w:rsidRPr="00D333A9">
        <w:rPr>
          <w:b/>
          <w:lang w:val="fr-BE"/>
        </w:rPr>
        <w:t xml:space="preserve"> VERBANCK Paul </w:t>
      </w:r>
      <w:r w:rsidRPr="00D333A9">
        <w:rPr>
          <w:lang w:val="fr-BE"/>
        </w:rPr>
        <w:t>et le secrétariat scientifique a été assuré par GERARD Sylvie.</w:t>
      </w:r>
    </w:p>
    <w:p w:rsidR="002940D1" w:rsidRPr="00D333A9" w:rsidRDefault="002940D1" w:rsidP="00722DDF">
      <w:pPr>
        <w:widowControl w:val="0"/>
        <w:contextualSpacing/>
        <w:rPr>
          <w:lang w:val="fr-BE"/>
        </w:rPr>
      </w:pPr>
    </w:p>
    <w:tbl>
      <w:tblPr>
        <w:tblW w:w="5000" w:type="pct"/>
        <w:tblCellMar>
          <w:bottom w:w="57" w:type="dxa"/>
        </w:tblCellMar>
        <w:tblLook w:val="01E0" w:firstRow="1" w:lastRow="1" w:firstColumn="1" w:lastColumn="1" w:noHBand="0" w:noVBand="0"/>
      </w:tblPr>
      <w:tblGrid>
        <w:gridCol w:w="3261"/>
        <w:gridCol w:w="3318"/>
        <w:gridCol w:w="2448"/>
      </w:tblGrid>
      <w:tr w:rsidR="002940D1" w:rsidRPr="00D333A9" w:rsidTr="002940D1">
        <w:tc>
          <w:tcPr>
            <w:tcW w:w="1806" w:type="pct"/>
            <w:shd w:val="clear" w:color="auto" w:fill="auto"/>
          </w:tcPr>
          <w:p w:rsidR="002940D1" w:rsidRPr="00D333A9" w:rsidRDefault="002940D1" w:rsidP="00722DDF">
            <w:pPr>
              <w:widowControl w:val="0"/>
              <w:contextualSpacing/>
              <w:jc w:val="left"/>
              <w:rPr>
                <w:b/>
              </w:rPr>
            </w:pPr>
            <w:r w:rsidRPr="00D333A9">
              <w:rPr>
                <w:b/>
              </w:rPr>
              <w:t>ALEXANDRE Sébastien</w:t>
            </w:r>
          </w:p>
        </w:tc>
        <w:tc>
          <w:tcPr>
            <w:tcW w:w="1838" w:type="pct"/>
            <w:shd w:val="clear" w:color="auto" w:fill="auto"/>
          </w:tcPr>
          <w:p w:rsidR="002940D1" w:rsidRPr="00D333A9" w:rsidRDefault="00A04B97" w:rsidP="00722DDF">
            <w:pPr>
              <w:widowControl w:val="0"/>
              <w:contextualSpacing/>
              <w:jc w:val="left"/>
            </w:pPr>
            <w:r>
              <w:t>Directeur</w:t>
            </w:r>
          </w:p>
        </w:tc>
        <w:tc>
          <w:tcPr>
            <w:tcW w:w="1356" w:type="pct"/>
            <w:shd w:val="clear" w:color="auto" w:fill="auto"/>
          </w:tcPr>
          <w:p w:rsidR="002940D1" w:rsidRPr="00D333A9" w:rsidRDefault="002940D1" w:rsidP="00722DDF">
            <w:pPr>
              <w:widowControl w:val="0"/>
              <w:contextualSpacing/>
              <w:jc w:val="left"/>
            </w:pPr>
            <w:r w:rsidRPr="00D333A9">
              <w:t>FEDITO Bruxelles</w:t>
            </w:r>
          </w:p>
        </w:tc>
      </w:tr>
      <w:tr w:rsidR="002940D1" w:rsidRPr="00D333A9" w:rsidTr="002940D1">
        <w:tc>
          <w:tcPr>
            <w:tcW w:w="1806" w:type="pct"/>
            <w:shd w:val="clear" w:color="auto" w:fill="auto"/>
          </w:tcPr>
          <w:p w:rsidR="002940D1" w:rsidRPr="00D333A9" w:rsidRDefault="002940D1" w:rsidP="00722DDF">
            <w:pPr>
              <w:widowControl w:val="0"/>
              <w:contextualSpacing/>
              <w:jc w:val="left"/>
              <w:rPr>
                <w:b/>
              </w:rPr>
            </w:pPr>
            <w:r w:rsidRPr="00D333A9">
              <w:rPr>
                <w:b/>
              </w:rPr>
              <w:t>BOGDANOWICZ Emilia</w:t>
            </w:r>
          </w:p>
        </w:tc>
        <w:tc>
          <w:tcPr>
            <w:tcW w:w="1838" w:type="pct"/>
            <w:shd w:val="clear" w:color="auto" w:fill="auto"/>
          </w:tcPr>
          <w:p w:rsidR="002940D1" w:rsidRPr="00D333A9" w:rsidRDefault="002940D1" w:rsidP="00722DDF">
            <w:pPr>
              <w:widowControl w:val="0"/>
              <w:contextualSpacing/>
              <w:jc w:val="left"/>
            </w:pPr>
            <w:proofErr w:type="spellStart"/>
            <w:r w:rsidRPr="00D333A9">
              <w:t>Psychologie</w:t>
            </w:r>
            <w:proofErr w:type="spellEnd"/>
            <w:r w:rsidRPr="00D333A9">
              <w:t xml:space="preserve">, </w:t>
            </w:r>
            <w:proofErr w:type="spellStart"/>
            <w:r w:rsidRPr="00D333A9">
              <w:t>psychothérapie</w:t>
            </w:r>
            <w:proofErr w:type="spellEnd"/>
            <w:r w:rsidRPr="00D333A9">
              <w:t xml:space="preserve">, </w:t>
            </w:r>
            <w:proofErr w:type="spellStart"/>
            <w:r w:rsidRPr="00D333A9">
              <w:t>assuétudes</w:t>
            </w:r>
            <w:proofErr w:type="spellEnd"/>
          </w:p>
        </w:tc>
        <w:tc>
          <w:tcPr>
            <w:tcW w:w="1356" w:type="pct"/>
            <w:shd w:val="clear" w:color="auto" w:fill="auto"/>
          </w:tcPr>
          <w:p w:rsidR="002940D1" w:rsidRPr="00D333A9" w:rsidRDefault="002940D1" w:rsidP="00722DDF">
            <w:pPr>
              <w:widowControl w:val="0"/>
              <w:contextualSpacing/>
              <w:jc w:val="left"/>
            </w:pPr>
            <w:r w:rsidRPr="00D333A9">
              <w:t xml:space="preserve">Le </w:t>
            </w:r>
            <w:proofErr w:type="spellStart"/>
            <w:r w:rsidRPr="00D333A9">
              <w:t>Pélican</w:t>
            </w:r>
            <w:proofErr w:type="spellEnd"/>
          </w:p>
        </w:tc>
      </w:tr>
      <w:tr w:rsidR="002940D1" w:rsidRPr="00D333A9" w:rsidTr="002940D1">
        <w:tc>
          <w:tcPr>
            <w:tcW w:w="1806" w:type="pct"/>
            <w:shd w:val="clear" w:color="auto" w:fill="auto"/>
          </w:tcPr>
          <w:p w:rsidR="002940D1" w:rsidRPr="00D333A9" w:rsidRDefault="002940D1" w:rsidP="00722DDF">
            <w:pPr>
              <w:widowControl w:val="0"/>
              <w:contextualSpacing/>
              <w:jc w:val="left"/>
              <w:rPr>
                <w:b/>
              </w:rPr>
            </w:pPr>
            <w:r w:rsidRPr="00D333A9">
              <w:rPr>
                <w:b/>
              </w:rPr>
              <w:t>DE BACKER Guy</w:t>
            </w:r>
          </w:p>
        </w:tc>
        <w:tc>
          <w:tcPr>
            <w:tcW w:w="1838" w:type="pct"/>
            <w:shd w:val="clear" w:color="auto" w:fill="auto"/>
          </w:tcPr>
          <w:p w:rsidR="002940D1" w:rsidRPr="00D333A9" w:rsidRDefault="002940D1" w:rsidP="00722DDF">
            <w:pPr>
              <w:widowControl w:val="0"/>
              <w:contextualSpacing/>
              <w:jc w:val="left"/>
              <w:rPr>
                <w:lang w:val="fr-BE"/>
              </w:rPr>
            </w:pPr>
            <w:r w:rsidRPr="00D333A9">
              <w:rPr>
                <w:lang w:val="fr-BE"/>
              </w:rPr>
              <w:t>Médecine préventive, santé publique, épidémiologie</w:t>
            </w:r>
          </w:p>
        </w:tc>
        <w:tc>
          <w:tcPr>
            <w:tcW w:w="1356" w:type="pct"/>
            <w:shd w:val="clear" w:color="auto" w:fill="auto"/>
          </w:tcPr>
          <w:p w:rsidR="002940D1" w:rsidRPr="00D333A9" w:rsidRDefault="002940D1" w:rsidP="00722DDF">
            <w:pPr>
              <w:widowControl w:val="0"/>
              <w:contextualSpacing/>
              <w:jc w:val="left"/>
            </w:pPr>
            <w:proofErr w:type="spellStart"/>
            <w:r w:rsidRPr="00D333A9">
              <w:t>UGent</w:t>
            </w:r>
            <w:proofErr w:type="spellEnd"/>
          </w:p>
        </w:tc>
      </w:tr>
      <w:tr w:rsidR="002940D1" w:rsidRPr="00D333A9" w:rsidTr="002940D1">
        <w:tc>
          <w:tcPr>
            <w:tcW w:w="1806" w:type="pct"/>
            <w:shd w:val="clear" w:color="auto" w:fill="auto"/>
          </w:tcPr>
          <w:p w:rsidR="002940D1" w:rsidRPr="00D333A9" w:rsidRDefault="002940D1" w:rsidP="00722DDF">
            <w:pPr>
              <w:widowControl w:val="0"/>
              <w:contextualSpacing/>
              <w:jc w:val="left"/>
              <w:rPr>
                <w:b/>
              </w:rPr>
            </w:pPr>
            <w:r w:rsidRPr="00D333A9">
              <w:rPr>
                <w:b/>
              </w:rPr>
              <w:t>DE DONDER Else</w:t>
            </w:r>
          </w:p>
        </w:tc>
        <w:tc>
          <w:tcPr>
            <w:tcW w:w="1838" w:type="pct"/>
            <w:shd w:val="clear" w:color="auto" w:fill="auto"/>
          </w:tcPr>
          <w:p w:rsidR="002940D1" w:rsidRPr="00D333A9" w:rsidRDefault="00D134CE" w:rsidP="00722DDF">
            <w:pPr>
              <w:widowControl w:val="0"/>
              <w:contextualSpacing/>
              <w:jc w:val="left"/>
              <w:rPr>
                <w:lang w:val="fr-BE"/>
              </w:rPr>
            </w:pPr>
            <w:r>
              <w:rPr>
                <w:lang w:val="fr-BE"/>
              </w:rPr>
              <w:t>Promotion de la santé, pré</w:t>
            </w:r>
            <w:r w:rsidR="00D35B4B" w:rsidRPr="00D333A9">
              <w:rPr>
                <w:lang w:val="fr-BE"/>
              </w:rPr>
              <w:t>vention, épidémiologie</w:t>
            </w:r>
          </w:p>
        </w:tc>
        <w:tc>
          <w:tcPr>
            <w:tcW w:w="1356" w:type="pct"/>
            <w:shd w:val="clear" w:color="auto" w:fill="auto"/>
          </w:tcPr>
          <w:p w:rsidR="002940D1" w:rsidRPr="00D333A9" w:rsidRDefault="00BF43A5" w:rsidP="00722DDF">
            <w:pPr>
              <w:widowControl w:val="0"/>
              <w:contextualSpacing/>
              <w:jc w:val="left"/>
            </w:pPr>
            <w:r w:rsidRPr="00D333A9">
              <w:t>VAD</w:t>
            </w:r>
          </w:p>
        </w:tc>
      </w:tr>
      <w:tr w:rsidR="002940D1" w:rsidRPr="00D333A9" w:rsidTr="002940D1">
        <w:tc>
          <w:tcPr>
            <w:tcW w:w="1806" w:type="pct"/>
            <w:shd w:val="clear" w:color="auto" w:fill="auto"/>
          </w:tcPr>
          <w:p w:rsidR="002940D1" w:rsidRPr="00D333A9" w:rsidRDefault="002940D1" w:rsidP="00722DDF">
            <w:pPr>
              <w:widowControl w:val="0"/>
              <w:contextualSpacing/>
              <w:jc w:val="left"/>
              <w:rPr>
                <w:b/>
              </w:rPr>
            </w:pPr>
            <w:r w:rsidRPr="00D333A9">
              <w:rPr>
                <w:b/>
              </w:rPr>
              <w:t>DE DUVE Martin</w:t>
            </w:r>
          </w:p>
        </w:tc>
        <w:tc>
          <w:tcPr>
            <w:tcW w:w="1838" w:type="pct"/>
            <w:shd w:val="clear" w:color="auto" w:fill="auto"/>
          </w:tcPr>
          <w:p w:rsidR="002940D1" w:rsidRPr="00D333A9" w:rsidRDefault="0059068F" w:rsidP="00722DDF">
            <w:pPr>
              <w:widowControl w:val="0"/>
              <w:contextualSpacing/>
              <w:jc w:val="left"/>
            </w:pPr>
            <w:r w:rsidRPr="00D333A9">
              <w:t xml:space="preserve">Santé </w:t>
            </w:r>
            <w:proofErr w:type="spellStart"/>
            <w:r w:rsidRPr="00D333A9">
              <w:t>Publique</w:t>
            </w:r>
            <w:proofErr w:type="spellEnd"/>
          </w:p>
        </w:tc>
        <w:tc>
          <w:tcPr>
            <w:tcW w:w="1356" w:type="pct"/>
            <w:shd w:val="clear" w:color="auto" w:fill="auto"/>
          </w:tcPr>
          <w:p w:rsidR="002940D1" w:rsidRPr="00D333A9" w:rsidRDefault="0059068F" w:rsidP="00722DDF">
            <w:pPr>
              <w:widowControl w:val="0"/>
              <w:contextualSpacing/>
              <w:jc w:val="left"/>
            </w:pPr>
            <w:proofErr w:type="spellStart"/>
            <w:r w:rsidRPr="00D333A9">
              <w:t>Univers</w:t>
            </w:r>
            <w:proofErr w:type="spellEnd"/>
            <w:r w:rsidRPr="00D333A9">
              <w:t xml:space="preserve"> Santé</w:t>
            </w:r>
          </w:p>
        </w:tc>
      </w:tr>
      <w:tr w:rsidR="002940D1" w:rsidRPr="00D333A9" w:rsidTr="002940D1">
        <w:tc>
          <w:tcPr>
            <w:tcW w:w="1806" w:type="pct"/>
            <w:shd w:val="clear" w:color="auto" w:fill="auto"/>
          </w:tcPr>
          <w:p w:rsidR="002940D1" w:rsidRPr="00D333A9" w:rsidRDefault="002940D1" w:rsidP="00722DDF">
            <w:pPr>
              <w:widowControl w:val="0"/>
              <w:contextualSpacing/>
              <w:jc w:val="left"/>
              <w:rPr>
                <w:b/>
              </w:rPr>
            </w:pPr>
            <w:r w:rsidRPr="00D333A9">
              <w:rPr>
                <w:b/>
              </w:rPr>
              <w:t>DEBUSSCHER Eva</w:t>
            </w:r>
          </w:p>
        </w:tc>
        <w:tc>
          <w:tcPr>
            <w:tcW w:w="1838" w:type="pct"/>
            <w:shd w:val="clear" w:color="auto" w:fill="auto"/>
          </w:tcPr>
          <w:p w:rsidR="002940D1" w:rsidRPr="00D333A9" w:rsidRDefault="0059068F" w:rsidP="00722DDF">
            <w:pPr>
              <w:widowControl w:val="0"/>
              <w:contextualSpacing/>
              <w:jc w:val="left"/>
            </w:pPr>
            <w:proofErr w:type="spellStart"/>
            <w:r w:rsidRPr="00D333A9">
              <w:t>Psychiatrie</w:t>
            </w:r>
            <w:proofErr w:type="spellEnd"/>
          </w:p>
        </w:tc>
        <w:tc>
          <w:tcPr>
            <w:tcW w:w="1356" w:type="pct"/>
            <w:shd w:val="clear" w:color="auto" w:fill="auto"/>
          </w:tcPr>
          <w:p w:rsidR="002940D1" w:rsidRPr="00D333A9" w:rsidRDefault="002940D1" w:rsidP="00722DDF">
            <w:pPr>
              <w:widowControl w:val="0"/>
              <w:contextualSpacing/>
              <w:jc w:val="left"/>
            </w:pPr>
          </w:p>
        </w:tc>
      </w:tr>
      <w:tr w:rsidR="002940D1" w:rsidRPr="00D333A9" w:rsidTr="002940D1">
        <w:tc>
          <w:tcPr>
            <w:tcW w:w="1806" w:type="pct"/>
            <w:shd w:val="clear" w:color="auto" w:fill="auto"/>
          </w:tcPr>
          <w:p w:rsidR="002940D1" w:rsidRPr="00D333A9" w:rsidRDefault="002940D1" w:rsidP="00722DDF">
            <w:pPr>
              <w:widowControl w:val="0"/>
              <w:contextualSpacing/>
              <w:jc w:val="left"/>
              <w:rPr>
                <w:b/>
              </w:rPr>
            </w:pPr>
            <w:r w:rsidRPr="00D333A9">
              <w:rPr>
                <w:b/>
              </w:rPr>
              <w:t>DOM Geert</w:t>
            </w:r>
          </w:p>
        </w:tc>
        <w:tc>
          <w:tcPr>
            <w:tcW w:w="1838" w:type="pct"/>
            <w:shd w:val="clear" w:color="auto" w:fill="auto"/>
          </w:tcPr>
          <w:p w:rsidR="002940D1" w:rsidRPr="00D333A9" w:rsidRDefault="002940D1" w:rsidP="00722DDF">
            <w:pPr>
              <w:widowControl w:val="0"/>
              <w:contextualSpacing/>
              <w:jc w:val="left"/>
            </w:pPr>
            <w:proofErr w:type="spellStart"/>
            <w:r w:rsidRPr="00D333A9">
              <w:t>Neuropsychologie</w:t>
            </w:r>
            <w:proofErr w:type="spellEnd"/>
            <w:r w:rsidRPr="00D333A9">
              <w:t xml:space="preserve">, </w:t>
            </w:r>
            <w:proofErr w:type="spellStart"/>
            <w:r w:rsidRPr="00D333A9">
              <w:t>psychiatrie</w:t>
            </w:r>
            <w:proofErr w:type="spellEnd"/>
          </w:p>
        </w:tc>
        <w:tc>
          <w:tcPr>
            <w:tcW w:w="1356" w:type="pct"/>
            <w:shd w:val="clear" w:color="auto" w:fill="auto"/>
          </w:tcPr>
          <w:p w:rsidR="002940D1" w:rsidRPr="00D333A9" w:rsidRDefault="002940D1" w:rsidP="00722DDF">
            <w:pPr>
              <w:widowControl w:val="0"/>
              <w:contextualSpacing/>
              <w:jc w:val="left"/>
            </w:pPr>
            <w:proofErr w:type="spellStart"/>
            <w:r w:rsidRPr="00D333A9">
              <w:t>U</w:t>
            </w:r>
            <w:r w:rsidR="00C259DA" w:rsidRPr="00D333A9">
              <w:t>A</w:t>
            </w:r>
            <w:r w:rsidRPr="00D333A9">
              <w:t>ntwerpen</w:t>
            </w:r>
            <w:proofErr w:type="spellEnd"/>
          </w:p>
        </w:tc>
      </w:tr>
      <w:tr w:rsidR="002940D1" w:rsidRPr="00D333A9" w:rsidTr="002940D1">
        <w:tc>
          <w:tcPr>
            <w:tcW w:w="1806" w:type="pct"/>
            <w:shd w:val="clear" w:color="auto" w:fill="auto"/>
          </w:tcPr>
          <w:p w:rsidR="002940D1" w:rsidRPr="00D333A9" w:rsidRDefault="002940D1" w:rsidP="00722DDF">
            <w:pPr>
              <w:widowControl w:val="0"/>
              <w:contextualSpacing/>
              <w:jc w:val="left"/>
              <w:rPr>
                <w:b/>
              </w:rPr>
            </w:pPr>
            <w:r w:rsidRPr="00D333A9">
              <w:rPr>
                <w:b/>
              </w:rPr>
              <w:t>DOR Bernard</w:t>
            </w:r>
          </w:p>
        </w:tc>
        <w:tc>
          <w:tcPr>
            <w:tcW w:w="1838" w:type="pct"/>
            <w:shd w:val="clear" w:color="auto" w:fill="auto"/>
          </w:tcPr>
          <w:p w:rsidR="002940D1" w:rsidRPr="00D333A9" w:rsidRDefault="002940D1" w:rsidP="00722DDF">
            <w:pPr>
              <w:widowControl w:val="0"/>
              <w:contextualSpacing/>
              <w:jc w:val="left"/>
            </w:pPr>
            <w:proofErr w:type="spellStart"/>
            <w:r w:rsidRPr="00D333A9">
              <w:t>Médecine</w:t>
            </w:r>
            <w:proofErr w:type="spellEnd"/>
            <w:r w:rsidRPr="00D333A9">
              <w:t xml:space="preserve"> </w:t>
            </w:r>
            <w:proofErr w:type="spellStart"/>
            <w:r w:rsidRPr="00D333A9">
              <w:t>générale</w:t>
            </w:r>
            <w:proofErr w:type="spellEnd"/>
          </w:p>
        </w:tc>
        <w:tc>
          <w:tcPr>
            <w:tcW w:w="1356" w:type="pct"/>
            <w:shd w:val="clear" w:color="auto" w:fill="auto"/>
          </w:tcPr>
          <w:p w:rsidR="002940D1" w:rsidRDefault="007F1AAF" w:rsidP="00722DDF">
            <w:pPr>
              <w:widowControl w:val="0"/>
              <w:contextualSpacing/>
              <w:jc w:val="left"/>
            </w:pPr>
            <w:r w:rsidRPr="00D333A9">
              <w:t>SSMG</w:t>
            </w:r>
          </w:p>
          <w:p w:rsidR="00E75DCB" w:rsidRPr="00D333A9" w:rsidRDefault="00E75DCB" w:rsidP="00722DDF">
            <w:pPr>
              <w:widowControl w:val="0"/>
              <w:contextualSpacing/>
              <w:jc w:val="left"/>
            </w:pPr>
          </w:p>
        </w:tc>
      </w:tr>
      <w:tr w:rsidR="002940D1" w:rsidRPr="00D333A9" w:rsidTr="002940D1">
        <w:tc>
          <w:tcPr>
            <w:tcW w:w="1806" w:type="pct"/>
            <w:shd w:val="clear" w:color="auto" w:fill="auto"/>
          </w:tcPr>
          <w:p w:rsidR="002940D1" w:rsidRPr="00D333A9" w:rsidRDefault="002940D1" w:rsidP="00722DDF">
            <w:pPr>
              <w:widowControl w:val="0"/>
              <w:contextualSpacing/>
              <w:jc w:val="left"/>
              <w:rPr>
                <w:b/>
              </w:rPr>
            </w:pPr>
            <w:r w:rsidRPr="00D333A9">
              <w:rPr>
                <w:b/>
              </w:rPr>
              <w:t xml:space="preserve">GEIRNAERT </w:t>
            </w:r>
            <w:proofErr w:type="spellStart"/>
            <w:r w:rsidRPr="00D333A9">
              <w:rPr>
                <w:b/>
              </w:rPr>
              <w:t>Marijs</w:t>
            </w:r>
            <w:proofErr w:type="spellEnd"/>
          </w:p>
        </w:tc>
        <w:tc>
          <w:tcPr>
            <w:tcW w:w="1838" w:type="pct"/>
            <w:shd w:val="clear" w:color="auto" w:fill="auto"/>
          </w:tcPr>
          <w:p w:rsidR="002940D1" w:rsidRPr="00D333A9" w:rsidRDefault="0059068F" w:rsidP="00722DDF">
            <w:pPr>
              <w:widowControl w:val="0"/>
              <w:contextualSpacing/>
              <w:jc w:val="left"/>
              <w:rPr>
                <w:lang w:val="fr-BE"/>
              </w:rPr>
            </w:pPr>
            <w:r w:rsidRPr="00D333A9">
              <w:rPr>
                <w:lang w:val="fr-BE"/>
              </w:rPr>
              <w:t>Promotion de la santé</w:t>
            </w:r>
            <w:r w:rsidR="00D35B4B" w:rsidRPr="00D333A9">
              <w:rPr>
                <w:lang w:val="fr-BE"/>
              </w:rPr>
              <w:t>, prévention</w:t>
            </w:r>
          </w:p>
        </w:tc>
        <w:tc>
          <w:tcPr>
            <w:tcW w:w="1356" w:type="pct"/>
            <w:shd w:val="clear" w:color="auto" w:fill="auto"/>
          </w:tcPr>
          <w:p w:rsidR="002940D1" w:rsidRPr="00D333A9" w:rsidRDefault="002940D1" w:rsidP="00722DDF">
            <w:pPr>
              <w:widowControl w:val="0"/>
              <w:contextualSpacing/>
              <w:jc w:val="left"/>
            </w:pPr>
            <w:r w:rsidRPr="00D333A9">
              <w:t>VAD</w:t>
            </w:r>
          </w:p>
        </w:tc>
      </w:tr>
      <w:tr w:rsidR="002940D1" w:rsidRPr="00D333A9" w:rsidTr="002940D1">
        <w:tc>
          <w:tcPr>
            <w:tcW w:w="1806" w:type="pct"/>
            <w:shd w:val="clear" w:color="auto" w:fill="auto"/>
          </w:tcPr>
          <w:p w:rsidR="002940D1" w:rsidRPr="00D333A9" w:rsidRDefault="002940D1" w:rsidP="00722DDF">
            <w:pPr>
              <w:widowControl w:val="0"/>
              <w:contextualSpacing/>
              <w:jc w:val="left"/>
              <w:rPr>
                <w:b/>
              </w:rPr>
            </w:pPr>
            <w:r w:rsidRPr="00D333A9">
              <w:rPr>
                <w:b/>
              </w:rPr>
              <w:t>GENIN Laurence</w:t>
            </w:r>
          </w:p>
        </w:tc>
        <w:tc>
          <w:tcPr>
            <w:tcW w:w="1838" w:type="pct"/>
            <w:shd w:val="clear" w:color="auto" w:fill="auto"/>
          </w:tcPr>
          <w:p w:rsidR="002940D1" w:rsidRPr="00D333A9" w:rsidRDefault="002940D1" w:rsidP="00722DDF">
            <w:pPr>
              <w:widowControl w:val="0"/>
              <w:contextualSpacing/>
              <w:jc w:val="left"/>
            </w:pPr>
            <w:proofErr w:type="spellStart"/>
            <w:r w:rsidRPr="00D333A9">
              <w:t>Psychologie</w:t>
            </w:r>
            <w:proofErr w:type="spellEnd"/>
            <w:r w:rsidRPr="00D333A9">
              <w:t xml:space="preserve"> </w:t>
            </w:r>
            <w:proofErr w:type="spellStart"/>
            <w:r w:rsidRPr="00D333A9">
              <w:t>clinique</w:t>
            </w:r>
            <w:proofErr w:type="spellEnd"/>
            <w:r w:rsidRPr="00D333A9">
              <w:t xml:space="preserve">, </w:t>
            </w:r>
            <w:proofErr w:type="spellStart"/>
            <w:r w:rsidRPr="00D333A9">
              <w:t>assuétude</w:t>
            </w:r>
            <w:proofErr w:type="spellEnd"/>
          </w:p>
        </w:tc>
        <w:tc>
          <w:tcPr>
            <w:tcW w:w="1356" w:type="pct"/>
            <w:shd w:val="clear" w:color="auto" w:fill="auto"/>
          </w:tcPr>
          <w:p w:rsidR="002940D1" w:rsidRPr="00D333A9" w:rsidRDefault="002940D1" w:rsidP="00722DDF">
            <w:pPr>
              <w:widowControl w:val="0"/>
              <w:contextualSpacing/>
              <w:jc w:val="left"/>
            </w:pPr>
            <w:r w:rsidRPr="00D333A9">
              <w:t xml:space="preserve">Le </w:t>
            </w:r>
            <w:proofErr w:type="spellStart"/>
            <w:r w:rsidRPr="00D333A9">
              <w:t>Pélican</w:t>
            </w:r>
            <w:proofErr w:type="spellEnd"/>
          </w:p>
        </w:tc>
      </w:tr>
      <w:tr w:rsidR="002940D1" w:rsidRPr="00D333A9" w:rsidTr="002940D1">
        <w:tc>
          <w:tcPr>
            <w:tcW w:w="1806" w:type="pct"/>
            <w:shd w:val="clear" w:color="auto" w:fill="auto"/>
          </w:tcPr>
          <w:p w:rsidR="002940D1" w:rsidRPr="00D333A9" w:rsidRDefault="002940D1" w:rsidP="00722DDF">
            <w:pPr>
              <w:widowControl w:val="0"/>
              <w:contextualSpacing/>
              <w:jc w:val="left"/>
              <w:rPr>
                <w:b/>
              </w:rPr>
            </w:pPr>
            <w:r w:rsidRPr="00D333A9">
              <w:rPr>
                <w:b/>
              </w:rPr>
              <w:t>GUSTOT Thierry</w:t>
            </w:r>
          </w:p>
        </w:tc>
        <w:tc>
          <w:tcPr>
            <w:tcW w:w="1838" w:type="pct"/>
            <w:shd w:val="clear" w:color="auto" w:fill="auto"/>
          </w:tcPr>
          <w:p w:rsidR="002940D1" w:rsidRPr="00D333A9" w:rsidRDefault="002940D1" w:rsidP="00722DDF">
            <w:pPr>
              <w:widowControl w:val="0"/>
              <w:contextualSpacing/>
              <w:jc w:val="left"/>
            </w:pPr>
            <w:proofErr w:type="spellStart"/>
            <w:r w:rsidRPr="00D333A9">
              <w:t>Gastroentérologie</w:t>
            </w:r>
            <w:proofErr w:type="spellEnd"/>
          </w:p>
        </w:tc>
        <w:tc>
          <w:tcPr>
            <w:tcW w:w="1356" w:type="pct"/>
            <w:shd w:val="clear" w:color="auto" w:fill="auto"/>
          </w:tcPr>
          <w:p w:rsidR="002940D1" w:rsidRPr="00D333A9" w:rsidRDefault="002940D1" w:rsidP="00722DDF">
            <w:pPr>
              <w:widowControl w:val="0"/>
              <w:contextualSpacing/>
              <w:jc w:val="left"/>
            </w:pPr>
            <w:proofErr w:type="spellStart"/>
            <w:r w:rsidRPr="00D333A9">
              <w:t>Erasme</w:t>
            </w:r>
            <w:proofErr w:type="spellEnd"/>
          </w:p>
        </w:tc>
      </w:tr>
      <w:tr w:rsidR="002940D1" w:rsidRPr="00D333A9" w:rsidTr="002940D1">
        <w:tc>
          <w:tcPr>
            <w:tcW w:w="1806" w:type="pct"/>
            <w:shd w:val="clear" w:color="auto" w:fill="auto"/>
          </w:tcPr>
          <w:p w:rsidR="002940D1" w:rsidRPr="00D333A9" w:rsidRDefault="002940D1" w:rsidP="00722DDF">
            <w:pPr>
              <w:widowControl w:val="0"/>
              <w:contextualSpacing/>
              <w:jc w:val="left"/>
              <w:rPr>
                <w:b/>
              </w:rPr>
            </w:pPr>
            <w:r w:rsidRPr="00D333A9">
              <w:rPr>
                <w:b/>
              </w:rPr>
              <w:t>IMPE Pieter</w:t>
            </w:r>
          </w:p>
        </w:tc>
        <w:tc>
          <w:tcPr>
            <w:tcW w:w="1838" w:type="pct"/>
            <w:shd w:val="clear" w:color="auto" w:fill="auto"/>
          </w:tcPr>
          <w:p w:rsidR="002940D1" w:rsidRPr="00D333A9" w:rsidRDefault="002940D1" w:rsidP="00722DDF">
            <w:pPr>
              <w:widowControl w:val="0"/>
              <w:contextualSpacing/>
              <w:jc w:val="left"/>
            </w:pPr>
            <w:proofErr w:type="spellStart"/>
            <w:r w:rsidRPr="00D333A9">
              <w:t>Thérapie</w:t>
            </w:r>
            <w:proofErr w:type="spellEnd"/>
            <w:r w:rsidRPr="00D333A9">
              <w:t xml:space="preserve"> du </w:t>
            </w:r>
            <w:proofErr w:type="spellStart"/>
            <w:r w:rsidRPr="00D333A9">
              <w:t>comportement</w:t>
            </w:r>
            <w:proofErr w:type="spellEnd"/>
          </w:p>
        </w:tc>
        <w:tc>
          <w:tcPr>
            <w:tcW w:w="1356" w:type="pct"/>
            <w:shd w:val="clear" w:color="auto" w:fill="auto"/>
          </w:tcPr>
          <w:p w:rsidR="002940D1" w:rsidRPr="00D333A9" w:rsidRDefault="009C1A93" w:rsidP="00722DDF">
            <w:pPr>
              <w:widowControl w:val="0"/>
              <w:contextualSpacing/>
              <w:jc w:val="left"/>
            </w:pPr>
            <w:r w:rsidRPr="00D333A9">
              <w:t>KARUS</w:t>
            </w:r>
          </w:p>
        </w:tc>
      </w:tr>
      <w:tr w:rsidR="002940D1" w:rsidRPr="00D333A9" w:rsidTr="002940D1">
        <w:tc>
          <w:tcPr>
            <w:tcW w:w="1806" w:type="pct"/>
            <w:shd w:val="clear" w:color="auto" w:fill="auto"/>
          </w:tcPr>
          <w:p w:rsidR="002940D1" w:rsidRPr="00D333A9" w:rsidRDefault="002940D1" w:rsidP="00722DDF">
            <w:pPr>
              <w:widowControl w:val="0"/>
              <w:contextualSpacing/>
              <w:jc w:val="left"/>
              <w:rPr>
                <w:b/>
              </w:rPr>
            </w:pPr>
            <w:r w:rsidRPr="00D333A9">
              <w:rPr>
                <w:b/>
              </w:rPr>
              <w:t>LAMY Dominique</w:t>
            </w:r>
          </w:p>
        </w:tc>
        <w:tc>
          <w:tcPr>
            <w:tcW w:w="1838" w:type="pct"/>
            <w:shd w:val="clear" w:color="auto" w:fill="auto"/>
          </w:tcPr>
          <w:p w:rsidR="002940D1" w:rsidRPr="00D333A9" w:rsidRDefault="002940D1" w:rsidP="00722DDF">
            <w:pPr>
              <w:widowControl w:val="0"/>
              <w:contextualSpacing/>
              <w:jc w:val="left"/>
            </w:pPr>
            <w:proofErr w:type="spellStart"/>
            <w:r w:rsidRPr="00D333A9">
              <w:t>Médecine</w:t>
            </w:r>
            <w:proofErr w:type="spellEnd"/>
            <w:r w:rsidRPr="00D333A9">
              <w:t xml:space="preserve"> </w:t>
            </w:r>
            <w:proofErr w:type="spellStart"/>
            <w:r w:rsidRPr="00D333A9">
              <w:t>générale</w:t>
            </w:r>
            <w:proofErr w:type="spellEnd"/>
          </w:p>
        </w:tc>
        <w:tc>
          <w:tcPr>
            <w:tcW w:w="1356" w:type="pct"/>
            <w:shd w:val="clear" w:color="auto" w:fill="auto"/>
          </w:tcPr>
          <w:p w:rsidR="002940D1" w:rsidRPr="00D333A9" w:rsidRDefault="002940D1" w:rsidP="00722DDF">
            <w:pPr>
              <w:widowControl w:val="0"/>
              <w:contextualSpacing/>
              <w:jc w:val="left"/>
            </w:pPr>
            <w:r w:rsidRPr="00D333A9">
              <w:t>UCL</w:t>
            </w:r>
          </w:p>
        </w:tc>
      </w:tr>
      <w:tr w:rsidR="002940D1" w:rsidRPr="00D333A9" w:rsidTr="002940D1">
        <w:tc>
          <w:tcPr>
            <w:tcW w:w="1806" w:type="pct"/>
            <w:shd w:val="clear" w:color="auto" w:fill="auto"/>
          </w:tcPr>
          <w:p w:rsidR="002940D1" w:rsidRPr="00D333A9" w:rsidRDefault="002940D1" w:rsidP="00722DDF">
            <w:pPr>
              <w:widowControl w:val="0"/>
              <w:contextualSpacing/>
              <w:jc w:val="left"/>
              <w:rPr>
                <w:b/>
              </w:rPr>
            </w:pPr>
            <w:r w:rsidRPr="00D333A9">
              <w:rPr>
                <w:b/>
              </w:rPr>
              <w:t>MATHEI Catharina</w:t>
            </w:r>
          </w:p>
        </w:tc>
        <w:tc>
          <w:tcPr>
            <w:tcW w:w="1838" w:type="pct"/>
            <w:shd w:val="clear" w:color="auto" w:fill="auto"/>
          </w:tcPr>
          <w:p w:rsidR="002940D1" w:rsidRPr="00D333A9" w:rsidRDefault="0059068F" w:rsidP="00722DDF">
            <w:pPr>
              <w:widowControl w:val="0"/>
              <w:contextualSpacing/>
              <w:jc w:val="left"/>
            </w:pPr>
            <w:proofErr w:type="spellStart"/>
            <w:r w:rsidRPr="00D333A9">
              <w:t>Médecine</w:t>
            </w:r>
            <w:proofErr w:type="spellEnd"/>
            <w:r w:rsidRPr="00D333A9">
              <w:t xml:space="preserve"> </w:t>
            </w:r>
            <w:proofErr w:type="spellStart"/>
            <w:r w:rsidRPr="00D333A9">
              <w:t>générale</w:t>
            </w:r>
            <w:proofErr w:type="spellEnd"/>
          </w:p>
        </w:tc>
        <w:tc>
          <w:tcPr>
            <w:tcW w:w="1356" w:type="pct"/>
            <w:shd w:val="clear" w:color="auto" w:fill="auto"/>
          </w:tcPr>
          <w:p w:rsidR="002940D1" w:rsidRPr="00D333A9" w:rsidRDefault="0059068F" w:rsidP="00722DDF">
            <w:pPr>
              <w:widowControl w:val="0"/>
              <w:contextualSpacing/>
              <w:jc w:val="left"/>
            </w:pPr>
            <w:r w:rsidRPr="00D333A9">
              <w:t>KUL</w:t>
            </w:r>
          </w:p>
        </w:tc>
      </w:tr>
      <w:tr w:rsidR="002940D1" w:rsidRPr="00D333A9" w:rsidTr="002940D1">
        <w:tc>
          <w:tcPr>
            <w:tcW w:w="1806" w:type="pct"/>
            <w:shd w:val="clear" w:color="auto" w:fill="auto"/>
          </w:tcPr>
          <w:p w:rsidR="002940D1" w:rsidRPr="00D333A9" w:rsidRDefault="002940D1" w:rsidP="00722DDF">
            <w:pPr>
              <w:widowControl w:val="0"/>
              <w:contextualSpacing/>
              <w:jc w:val="left"/>
              <w:rPr>
                <w:b/>
              </w:rPr>
            </w:pPr>
            <w:r w:rsidRPr="00D333A9">
              <w:rPr>
                <w:b/>
              </w:rPr>
              <w:t>MATTHYS Frieda</w:t>
            </w:r>
          </w:p>
        </w:tc>
        <w:tc>
          <w:tcPr>
            <w:tcW w:w="1838" w:type="pct"/>
            <w:shd w:val="clear" w:color="auto" w:fill="auto"/>
          </w:tcPr>
          <w:p w:rsidR="002940D1" w:rsidRPr="00D333A9" w:rsidRDefault="002940D1" w:rsidP="00722DDF">
            <w:pPr>
              <w:widowControl w:val="0"/>
              <w:contextualSpacing/>
              <w:jc w:val="left"/>
            </w:pPr>
            <w:proofErr w:type="spellStart"/>
            <w:r w:rsidRPr="00D333A9">
              <w:t>Psychiatrie</w:t>
            </w:r>
            <w:proofErr w:type="spellEnd"/>
          </w:p>
        </w:tc>
        <w:tc>
          <w:tcPr>
            <w:tcW w:w="1356" w:type="pct"/>
            <w:shd w:val="clear" w:color="auto" w:fill="auto"/>
          </w:tcPr>
          <w:p w:rsidR="002940D1" w:rsidRPr="00D333A9" w:rsidRDefault="002940D1" w:rsidP="00722DDF">
            <w:pPr>
              <w:widowControl w:val="0"/>
              <w:contextualSpacing/>
              <w:jc w:val="left"/>
            </w:pPr>
            <w:r w:rsidRPr="00D333A9">
              <w:t>UZ Brussel</w:t>
            </w:r>
          </w:p>
        </w:tc>
      </w:tr>
      <w:tr w:rsidR="002940D1" w:rsidRPr="00D333A9" w:rsidTr="002940D1">
        <w:tc>
          <w:tcPr>
            <w:tcW w:w="1806" w:type="pct"/>
            <w:shd w:val="clear" w:color="auto" w:fill="auto"/>
          </w:tcPr>
          <w:p w:rsidR="002940D1" w:rsidRPr="00D333A9" w:rsidRDefault="002940D1" w:rsidP="00722DDF">
            <w:pPr>
              <w:widowControl w:val="0"/>
              <w:contextualSpacing/>
              <w:jc w:val="left"/>
              <w:rPr>
                <w:b/>
              </w:rPr>
            </w:pPr>
            <w:r w:rsidRPr="00D333A9">
              <w:rPr>
                <w:b/>
              </w:rPr>
              <w:t>ORBAN Thomas</w:t>
            </w:r>
          </w:p>
        </w:tc>
        <w:tc>
          <w:tcPr>
            <w:tcW w:w="1838" w:type="pct"/>
            <w:shd w:val="clear" w:color="auto" w:fill="auto"/>
          </w:tcPr>
          <w:p w:rsidR="002940D1" w:rsidRPr="00D333A9" w:rsidRDefault="002940D1" w:rsidP="00722DDF">
            <w:pPr>
              <w:widowControl w:val="0"/>
              <w:contextualSpacing/>
              <w:jc w:val="left"/>
            </w:pPr>
            <w:proofErr w:type="spellStart"/>
            <w:r w:rsidRPr="00D333A9">
              <w:t>Médecine</w:t>
            </w:r>
            <w:proofErr w:type="spellEnd"/>
            <w:r w:rsidRPr="00D333A9">
              <w:t xml:space="preserve"> </w:t>
            </w:r>
            <w:proofErr w:type="spellStart"/>
            <w:r w:rsidRPr="00D333A9">
              <w:t>générale</w:t>
            </w:r>
            <w:proofErr w:type="spellEnd"/>
          </w:p>
        </w:tc>
        <w:tc>
          <w:tcPr>
            <w:tcW w:w="1356" w:type="pct"/>
            <w:shd w:val="clear" w:color="auto" w:fill="auto"/>
          </w:tcPr>
          <w:p w:rsidR="002940D1" w:rsidRPr="00D333A9" w:rsidRDefault="002940D1" w:rsidP="00722DDF">
            <w:pPr>
              <w:widowControl w:val="0"/>
              <w:contextualSpacing/>
              <w:jc w:val="left"/>
            </w:pPr>
            <w:r w:rsidRPr="00D333A9">
              <w:t>SSMG</w:t>
            </w:r>
          </w:p>
        </w:tc>
      </w:tr>
      <w:tr w:rsidR="002940D1" w:rsidRPr="00D333A9" w:rsidTr="002940D1">
        <w:tc>
          <w:tcPr>
            <w:tcW w:w="1806" w:type="pct"/>
            <w:shd w:val="clear" w:color="auto" w:fill="auto"/>
          </w:tcPr>
          <w:p w:rsidR="002940D1" w:rsidRPr="00D333A9" w:rsidRDefault="002940D1" w:rsidP="00722DDF">
            <w:pPr>
              <w:widowControl w:val="0"/>
              <w:contextualSpacing/>
              <w:jc w:val="left"/>
              <w:rPr>
                <w:b/>
              </w:rPr>
            </w:pPr>
            <w:r w:rsidRPr="00D333A9">
              <w:rPr>
                <w:b/>
              </w:rPr>
              <w:t>PINTO Emmanuel</w:t>
            </w:r>
          </w:p>
        </w:tc>
        <w:tc>
          <w:tcPr>
            <w:tcW w:w="1838" w:type="pct"/>
            <w:shd w:val="clear" w:color="auto" w:fill="auto"/>
          </w:tcPr>
          <w:p w:rsidR="002940D1" w:rsidRPr="00D333A9" w:rsidRDefault="0059068F" w:rsidP="00722DDF">
            <w:pPr>
              <w:widowControl w:val="0"/>
              <w:contextualSpacing/>
              <w:jc w:val="left"/>
            </w:pPr>
            <w:proofErr w:type="spellStart"/>
            <w:r w:rsidRPr="00D333A9">
              <w:t>Psychiatrie</w:t>
            </w:r>
            <w:proofErr w:type="spellEnd"/>
          </w:p>
        </w:tc>
        <w:tc>
          <w:tcPr>
            <w:tcW w:w="1356" w:type="pct"/>
            <w:shd w:val="clear" w:color="auto" w:fill="auto"/>
          </w:tcPr>
          <w:p w:rsidR="002940D1" w:rsidRPr="00D333A9" w:rsidRDefault="00C370F9" w:rsidP="00722DDF">
            <w:pPr>
              <w:widowControl w:val="0"/>
              <w:contextualSpacing/>
              <w:jc w:val="left"/>
            </w:pPr>
            <w:proofErr w:type="spellStart"/>
            <w:r w:rsidRPr="00D333A9">
              <w:t>ISoSL</w:t>
            </w:r>
            <w:proofErr w:type="spellEnd"/>
          </w:p>
        </w:tc>
      </w:tr>
      <w:tr w:rsidR="002940D1" w:rsidRPr="005D32D9" w:rsidTr="002940D1">
        <w:tc>
          <w:tcPr>
            <w:tcW w:w="1806" w:type="pct"/>
            <w:shd w:val="clear" w:color="auto" w:fill="auto"/>
          </w:tcPr>
          <w:p w:rsidR="002940D1" w:rsidRPr="00D333A9" w:rsidRDefault="002940D1" w:rsidP="00722DDF">
            <w:pPr>
              <w:widowControl w:val="0"/>
              <w:contextualSpacing/>
              <w:jc w:val="left"/>
              <w:rPr>
                <w:b/>
              </w:rPr>
            </w:pPr>
            <w:r w:rsidRPr="00D333A9">
              <w:rPr>
                <w:b/>
              </w:rPr>
              <w:t>STÄRKEL Peter</w:t>
            </w:r>
          </w:p>
        </w:tc>
        <w:tc>
          <w:tcPr>
            <w:tcW w:w="1838" w:type="pct"/>
            <w:shd w:val="clear" w:color="auto" w:fill="auto"/>
          </w:tcPr>
          <w:p w:rsidR="002940D1" w:rsidRPr="00D333A9" w:rsidRDefault="002940D1" w:rsidP="00722DDF">
            <w:pPr>
              <w:widowControl w:val="0"/>
              <w:contextualSpacing/>
              <w:jc w:val="left"/>
            </w:pPr>
            <w:proofErr w:type="spellStart"/>
            <w:r w:rsidRPr="00D333A9">
              <w:t>Hépatologie</w:t>
            </w:r>
            <w:proofErr w:type="spellEnd"/>
          </w:p>
        </w:tc>
        <w:tc>
          <w:tcPr>
            <w:tcW w:w="1356" w:type="pct"/>
            <w:shd w:val="clear" w:color="auto" w:fill="auto"/>
          </w:tcPr>
          <w:p w:rsidR="002940D1" w:rsidRPr="0075118A" w:rsidRDefault="00B836DF" w:rsidP="00722DDF">
            <w:pPr>
              <w:widowControl w:val="0"/>
              <w:contextualSpacing/>
              <w:jc w:val="left"/>
              <w:rPr>
                <w:lang w:val="fr-BE"/>
              </w:rPr>
            </w:pPr>
            <w:r w:rsidRPr="0075118A">
              <w:rPr>
                <w:lang w:val="fr-BE"/>
              </w:rPr>
              <w:t>Cliniques Universitaires Saint-Luc (UCL)</w:t>
            </w:r>
          </w:p>
        </w:tc>
      </w:tr>
      <w:tr w:rsidR="002940D1" w:rsidRPr="00D333A9" w:rsidTr="002940D1">
        <w:tc>
          <w:tcPr>
            <w:tcW w:w="1806" w:type="pct"/>
            <w:shd w:val="clear" w:color="auto" w:fill="auto"/>
          </w:tcPr>
          <w:p w:rsidR="002940D1" w:rsidRPr="00D333A9" w:rsidRDefault="002940D1" w:rsidP="00722DDF">
            <w:pPr>
              <w:widowControl w:val="0"/>
              <w:contextualSpacing/>
              <w:jc w:val="left"/>
              <w:rPr>
                <w:b/>
              </w:rPr>
            </w:pPr>
            <w:r w:rsidRPr="00D333A9">
              <w:rPr>
                <w:b/>
              </w:rPr>
              <w:t>VAN DEUN Paul</w:t>
            </w:r>
          </w:p>
        </w:tc>
        <w:tc>
          <w:tcPr>
            <w:tcW w:w="1838" w:type="pct"/>
            <w:shd w:val="clear" w:color="auto" w:fill="auto"/>
          </w:tcPr>
          <w:p w:rsidR="002940D1" w:rsidRPr="00D333A9" w:rsidRDefault="002940D1" w:rsidP="00722DDF">
            <w:pPr>
              <w:widowControl w:val="0"/>
              <w:contextualSpacing/>
              <w:jc w:val="left"/>
            </w:pPr>
            <w:proofErr w:type="spellStart"/>
            <w:r w:rsidRPr="00D333A9">
              <w:t>Psychologie</w:t>
            </w:r>
            <w:proofErr w:type="spellEnd"/>
            <w:r w:rsidRPr="00D333A9">
              <w:t xml:space="preserve"> </w:t>
            </w:r>
            <w:proofErr w:type="spellStart"/>
            <w:r w:rsidRPr="00D333A9">
              <w:t>clinique</w:t>
            </w:r>
            <w:proofErr w:type="spellEnd"/>
            <w:r w:rsidRPr="00D333A9">
              <w:t xml:space="preserve">, </w:t>
            </w:r>
            <w:proofErr w:type="spellStart"/>
            <w:r w:rsidRPr="00D333A9">
              <w:t>assuétudes</w:t>
            </w:r>
            <w:proofErr w:type="spellEnd"/>
          </w:p>
        </w:tc>
        <w:tc>
          <w:tcPr>
            <w:tcW w:w="1356" w:type="pct"/>
            <w:shd w:val="clear" w:color="auto" w:fill="auto"/>
          </w:tcPr>
          <w:p w:rsidR="002940D1" w:rsidRPr="00D333A9" w:rsidRDefault="002940D1" w:rsidP="00722DDF">
            <w:pPr>
              <w:widowControl w:val="0"/>
              <w:contextualSpacing/>
              <w:jc w:val="left"/>
            </w:pPr>
            <w:r w:rsidRPr="00D333A9">
              <w:t>VAD, De Spiegel</w:t>
            </w:r>
          </w:p>
        </w:tc>
      </w:tr>
      <w:tr w:rsidR="002940D1" w:rsidRPr="00D333A9" w:rsidTr="002940D1">
        <w:tc>
          <w:tcPr>
            <w:tcW w:w="1806" w:type="pct"/>
            <w:shd w:val="clear" w:color="auto" w:fill="auto"/>
          </w:tcPr>
          <w:p w:rsidR="002940D1" w:rsidRPr="00D333A9" w:rsidRDefault="002940D1" w:rsidP="00722DDF">
            <w:pPr>
              <w:widowControl w:val="0"/>
              <w:contextualSpacing/>
              <w:jc w:val="left"/>
              <w:rPr>
                <w:b/>
              </w:rPr>
            </w:pPr>
            <w:r w:rsidRPr="00D333A9">
              <w:rPr>
                <w:b/>
              </w:rPr>
              <w:t>VERBANCK Paul</w:t>
            </w:r>
          </w:p>
        </w:tc>
        <w:tc>
          <w:tcPr>
            <w:tcW w:w="1838" w:type="pct"/>
            <w:shd w:val="clear" w:color="auto" w:fill="auto"/>
          </w:tcPr>
          <w:p w:rsidR="002940D1" w:rsidRPr="00D333A9" w:rsidRDefault="0059068F" w:rsidP="00722DDF">
            <w:pPr>
              <w:widowControl w:val="0"/>
              <w:contextualSpacing/>
              <w:jc w:val="left"/>
            </w:pPr>
            <w:proofErr w:type="spellStart"/>
            <w:r w:rsidRPr="00D333A9">
              <w:t>Psychiatrie</w:t>
            </w:r>
            <w:proofErr w:type="spellEnd"/>
          </w:p>
        </w:tc>
        <w:tc>
          <w:tcPr>
            <w:tcW w:w="1356" w:type="pct"/>
            <w:shd w:val="clear" w:color="auto" w:fill="auto"/>
          </w:tcPr>
          <w:p w:rsidR="002940D1" w:rsidRPr="00D333A9" w:rsidRDefault="002940D1" w:rsidP="00722DDF">
            <w:pPr>
              <w:widowControl w:val="0"/>
              <w:contextualSpacing/>
              <w:jc w:val="left"/>
            </w:pPr>
            <w:r w:rsidRPr="00D333A9">
              <w:t xml:space="preserve">CHU </w:t>
            </w:r>
            <w:proofErr w:type="spellStart"/>
            <w:r w:rsidRPr="00D333A9">
              <w:t>Brugmann</w:t>
            </w:r>
            <w:proofErr w:type="spellEnd"/>
          </w:p>
        </w:tc>
      </w:tr>
      <w:tr w:rsidR="002940D1" w:rsidRPr="00D333A9" w:rsidTr="002940D1">
        <w:tc>
          <w:tcPr>
            <w:tcW w:w="1806" w:type="pct"/>
            <w:shd w:val="clear" w:color="auto" w:fill="auto"/>
          </w:tcPr>
          <w:p w:rsidR="002940D1" w:rsidRPr="00D333A9" w:rsidRDefault="002940D1" w:rsidP="00722DDF">
            <w:pPr>
              <w:widowControl w:val="0"/>
              <w:contextualSpacing/>
              <w:jc w:val="left"/>
              <w:rPr>
                <w:b/>
              </w:rPr>
            </w:pPr>
            <w:r w:rsidRPr="00D333A9">
              <w:rPr>
                <w:b/>
              </w:rPr>
              <w:t>ZEEUWS Dieter</w:t>
            </w:r>
          </w:p>
        </w:tc>
        <w:tc>
          <w:tcPr>
            <w:tcW w:w="1838" w:type="pct"/>
            <w:shd w:val="clear" w:color="auto" w:fill="auto"/>
          </w:tcPr>
          <w:p w:rsidR="002940D1" w:rsidRPr="00D333A9" w:rsidRDefault="0059068F" w:rsidP="00722DDF">
            <w:pPr>
              <w:widowControl w:val="0"/>
              <w:contextualSpacing/>
              <w:jc w:val="left"/>
            </w:pPr>
            <w:proofErr w:type="spellStart"/>
            <w:r w:rsidRPr="00D333A9">
              <w:t>Psychiatrie</w:t>
            </w:r>
            <w:proofErr w:type="spellEnd"/>
          </w:p>
        </w:tc>
        <w:tc>
          <w:tcPr>
            <w:tcW w:w="1356" w:type="pct"/>
            <w:shd w:val="clear" w:color="auto" w:fill="auto"/>
          </w:tcPr>
          <w:p w:rsidR="002940D1" w:rsidRPr="00D333A9" w:rsidRDefault="002940D1" w:rsidP="00722DDF">
            <w:pPr>
              <w:widowControl w:val="0"/>
              <w:contextualSpacing/>
              <w:jc w:val="left"/>
            </w:pPr>
          </w:p>
        </w:tc>
      </w:tr>
    </w:tbl>
    <w:p w:rsidR="002940D1" w:rsidRPr="00D333A9" w:rsidRDefault="002940D1" w:rsidP="00722DDF">
      <w:pPr>
        <w:widowControl w:val="0"/>
        <w:contextualSpacing/>
      </w:pPr>
    </w:p>
    <w:p w:rsidR="002940D1" w:rsidRPr="00D333A9" w:rsidRDefault="002940D1" w:rsidP="009B295D">
      <w:pPr>
        <w:widowControl w:val="0"/>
        <w:contextualSpacing/>
        <w:rPr>
          <w:lang w:val="fr-BE"/>
        </w:rPr>
      </w:pPr>
      <w:r w:rsidRPr="00D333A9">
        <w:rPr>
          <w:lang w:val="fr-BE"/>
        </w:rPr>
        <w:t>Les experts suivants ont été entendus mais n’ont pas participé à l’approbation de l’avis.</w:t>
      </w:r>
    </w:p>
    <w:p w:rsidR="002940D1" w:rsidRPr="00D333A9" w:rsidRDefault="002940D1" w:rsidP="009B295D">
      <w:pPr>
        <w:widowControl w:val="0"/>
        <w:contextualSpacing/>
        <w:rPr>
          <w:lang w:val="fr-BE"/>
        </w:rPr>
      </w:pPr>
    </w:p>
    <w:tbl>
      <w:tblPr>
        <w:tblW w:w="0" w:type="auto"/>
        <w:tblCellMar>
          <w:bottom w:w="57" w:type="dxa"/>
        </w:tblCellMar>
        <w:tblLook w:val="01E0" w:firstRow="1" w:lastRow="1" w:firstColumn="1" w:lastColumn="1" w:noHBand="0" w:noVBand="0"/>
      </w:tblPr>
      <w:tblGrid>
        <w:gridCol w:w="2700"/>
        <w:gridCol w:w="3918"/>
        <w:gridCol w:w="2409"/>
      </w:tblGrid>
      <w:tr w:rsidR="002940D1" w:rsidRPr="00D333A9" w:rsidTr="00722DDF">
        <w:tc>
          <w:tcPr>
            <w:tcW w:w="2749" w:type="dxa"/>
            <w:shd w:val="clear" w:color="auto" w:fill="auto"/>
          </w:tcPr>
          <w:p w:rsidR="002940D1" w:rsidRPr="00D333A9" w:rsidRDefault="002940D1" w:rsidP="009B295D">
            <w:pPr>
              <w:widowControl w:val="0"/>
              <w:contextualSpacing/>
              <w:jc w:val="left"/>
            </w:pPr>
            <w:r w:rsidRPr="00D333A9">
              <w:t>BROUILLARD Benoit</w:t>
            </w:r>
          </w:p>
        </w:tc>
        <w:tc>
          <w:tcPr>
            <w:tcW w:w="4030" w:type="dxa"/>
            <w:shd w:val="clear" w:color="auto" w:fill="auto"/>
          </w:tcPr>
          <w:p w:rsidR="002940D1" w:rsidRPr="00D333A9" w:rsidRDefault="002940D1" w:rsidP="009B295D">
            <w:pPr>
              <w:widowControl w:val="0"/>
              <w:contextualSpacing/>
              <w:jc w:val="left"/>
            </w:pPr>
            <w:r w:rsidRPr="00D333A9">
              <w:t xml:space="preserve">FEDITO </w:t>
            </w:r>
            <w:proofErr w:type="spellStart"/>
            <w:r w:rsidR="00976EF2" w:rsidRPr="00D333A9">
              <w:t>Wallonne</w:t>
            </w:r>
            <w:proofErr w:type="spellEnd"/>
          </w:p>
        </w:tc>
        <w:tc>
          <w:tcPr>
            <w:tcW w:w="2509" w:type="dxa"/>
            <w:shd w:val="clear" w:color="auto" w:fill="auto"/>
          </w:tcPr>
          <w:p w:rsidR="002940D1" w:rsidRPr="00D333A9" w:rsidRDefault="002940D1" w:rsidP="009B295D">
            <w:pPr>
              <w:widowControl w:val="0"/>
              <w:contextualSpacing/>
              <w:jc w:val="left"/>
            </w:pPr>
          </w:p>
        </w:tc>
      </w:tr>
      <w:tr w:rsidR="002940D1" w:rsidRPr="005D32D9" w:rsidTr="00722DDF">
        <w:tc>
          <w:tcPr>
            <w:tcW w:w="2749" w:type="dxa"/>
            <w:shd w:val="clear" w:color="auto" w:fill="auto"/>
          </w:tcPr>
          <w:p w:rsidR="002940D1" w:rsidRPr="00D333A9" w:rsidRDefault="002940D1" w:rsidP="009B295D">
            <w:pPr>
              <w:widowControl w:val="0"/>
              <w:contextualSpacing/>
              <w:jc w:val="left"/>
            </w:pPr>
            <w:r w:rsidRPr="00D333A9">
              <w:t>COUTEAU Marie-José</w:t>
            </w:r>
          </w:p>
        </w:tc>
        <w:tc>
          <w:tcPr>
            <w:tcW w:w="4030" w:type="dxa"/>
            <w:shd w:val="clear" w:color="auto" w:fill="auto"/>
          </w:tcPr>
          <w:p w:rsidR="002940D1" w:rsidRPr="00D333A9" w:rsidRDefault="002940D1" w:rsidP="009B295D">
            <w:pPr>
              <w:widowControl w:val="0"/>
              <w:contextualSpacing/>
              <w:jc w:val="left"/>
              <w:rPr>
                <w:lang w:val="fr-BE"/>
              </w:rPr>
            </w:pPr>
            <w:r w:rsidRPr="00D333A9">
              <w:rPr>
                <w:lang w:val="fr-BE"/>
              </w:rPr>
              <w:t>Observatoire de la santé du Hainaut</w:t>
            </w:r>
          </w:p>
        </w:tc>
        <w:tc>
          <w:tcPr>
            <w:tcW w:w="2509" w:type="dxa"/>
            <w:shd w:val="clear" w:color="auto" w:fill="auto"/>
          </w:tcPr>
          <w:p w:rsidR="002940D1" w:rsidRPr="00D333A9" w:rsidRDefault="002940D1" w:rsidP="009B295D">
            <w:pPr>
              <w:widowControl w:val="0"/>
              <w:contextualSpacing/>
              <w:jc w:val="left"/>
              <w:rPr>
                <w:lang w:val="fr-BE"/>
              </w:rPr>
            </w:pPr>
          </w:p>
        </w:tc>
      </w:tr>
    </w:tbl>
    <w:p w:rsidR="002940D1" w:rsidRPr="00D333A9" w:rsidRDefault="002940D1" w:rsidP="009B295D">
      <w:pPr>
        <w:widowControl w:val="0"/>
        <w:contextualSpacing/>
        <w:rPr>
          <w:lang w:val="fr-BE"/>
        </w:rPr>
      </w:pPr>
    </w:p>
    <w:p w:rsidR="00B103D6" w:rsidRPr="00D333A9" w:rsidRDefault="00B103D6" w:rsidP="009B295D">
      <w:pPr>
        <w:autoSpaceDE w:val="0"/>
        <w:autoSpaceDN w:val="0"/>
        <w:adjustRightInd w:val="0"/>
        <w:rPr>
          <w:rFonts w:cs="Arial"/>
          <w:bCs/>
          <w:szCs w:val="24"/>
          <w:lang w:val="fr-BE"/>
        </w:rPr>
      </w:pPr>
      <w:r w:rsidRPr="00D333A9">
        <w:rPr>
          <w:rFonts w:cs="Arial"/>
          <w:bCs/>
          <w:szCs w:val="24"/>
          <w:lang w:val="fr-BE"/>
        </w:rPr>
        <w:t>Les administrations suivant</w:t>
      </w:r>
      <w:r w:rsidR="003116B8" w:rsidRPr="00D333A9">
        <w:rPr>
          <w:rFonts w:cs="Arial"/>
          <w:bCs/>
          <w:szCs w:val="24"/>
          <w:lang w:val="fr-BE"/>
        </w:rPr>
        <w:t>e</w:t>
      </w:r>
      <w:r w:rsidRPr="00D333A9">
        <w:rPr>
          <w:rFonts w:cs="Arial"/>
          <w:bCs/>
          <w:szCs w:val="24"/>
          <w:lang w:val="fr-BE"/>
        </w:rPr>
        <w:t>s ont été entendu</w:t>
      </w:r>
      <w:r w:rsidR="003116B8" w:rsidRPr="00D333A9">
        <w:rPr>
          <w:rFonts w:cs="Arial"/>
          <w:bCs/>
          <w:szCs w:val="24"/>
          <w:lang w:val="fr-BE"/>
        </w:rPr>
        <w:t>e</w:t>
      </w:r>
      <w:r w:rsidRPr="00D333A9">
        <w:rPr>
          <w:rFonts w:cs="Arial"/>
          <w:bCs/>
          <w:szCs w:val="24"/>
          <w:lang w:val="fr-BE"/>
        </w:rPr>
        <w:t>s :</w:t>
      </w:r>
    </w:p>
    <w:p w:rsidR="00B103D6" w:rsidRPr="00D333A9" w:rsidRDefault="00B103D6" w:rsidP="009B295D">
      <w:pPr>
        <w:autoSpaceDE w:val="0"/>
        <w:autoSpaceDN w:val="0"/>
        <w:adjustRightInd w:val="0"/>
        <w:rPr>
          <w:rFonts w:cs="Arial"/>
          <w:bCs/>
          <w:szCs w:val="24"/>
          <w:lang w:val="fr-BE"/>
        </w:rPr>
      </w:pPr>
    </w:p>
    <w:tbl>
      <w:tblPr>
        <w:tblW w:w="0" w:type="auto"/>
        <w:tblLook w:val="01E0" w:firstRow="1" w:lastRow="1" w:firstColumn="1" w:lastColumn="1" w:noHBand="0" w:noVBand="0"/>
      </w:tblPr>
      <w:tblGrid>
        <w:gridCol w:w="2737"/>
        <w:gridCol w:w="3617"/>
        <w:gridCol w:w="2673"/>
      </w:tblGrid>
      <w:tr w:rsidR="00B103D6" w:rsidRPr="00D333A9" w:rsidTr="002940D1">
        <w:tc>
          <w:tcPr>
            <w:tcW w:w="2737" w:type="dxa"/>
            <w:shd w:val="clear" w:color="auto" w:fill="auto"/>
          </w:tcPr>
          <w:p w:rsidR="002940D1" w:rsidRPr="00D333A9" w:rsidRDefault="002940D1" w:rsidP="009B295D">
            <w:pPr>
              <w:autoSpaceDE w:val="0"/>
              <w:autoSpaceDN w:val="0"/>
              <w:adjustRightInd w:val="0"/>
              <w:rPr>
                <w:rFonts w:cs="Arial"/>
                <w:bCs/>
                <w:szCs w:val="24"/>
                <w:lang w:val="fr-BE"/>
              </w:rPr>
            </w:pPr>
            <w:r w:rsidRPr="00D333A9">
              <w:rPr>
                <w:rFonts w:cs="Arial"/>
                <w:bCs/>
                <w:szCs w:val="24"/>
                <w:lang w:val="nl-NL"/>
              </w:rPr>
              <w:t xml:space="preserve">CAPOUET Mathieu </w:t>
            </w:r>
          </w:p>
        </w:tc>
        <w:tc>
          <w:tcPr>
            <w:tcW w:w="3617" w:type="dxa"/>
            <w:shd w:val="clear" w:color="auto" w:fill="auto"/>
          </w:tcPr>
          <w:p w:rsidR="00B103D6" w:rsidRPr="00D333A9" w:rsidRDefault="003116B8" w:rsidP="009B295D">
            <w:pPr>
              <w:autoSpaceDE w:val="0"/>
              <w:autoSpaceDN w:val="0"/>
              <w:adjustRightInd w:val="0"/>
              <w:rPr>
                <w:rFonts w:cs="Arial"/>
                <w:bCs/>
                <w:szCs w:val="24"/>
                <w:lang w:val="fr-BE"/>
              </w:rPr>
            </w:pPr>
            <w:r w:rsidRPr="00D333A9">
              <w:rPr>
                <w:rFonts w:cs="Arial"/>
                <w:bCs/>
                <w:szCs w:val="24"/>
                <w:lang w:val="fr-BE"/>
              </w:rPr>
              <w:t>SPF Santé Publique</w:t>
            </w:r>
          </w:p>
        </w:tc>
        <w:tc>
          <w:tcPr>
            <w:tcW w:w="2673" w:type="dxa"/>
            <w:shd w:val="clear" w:color="auto" w:fill="auto"/>
          </w:tcPr>
          <w:p w:rsidR="00B103D6" w:rsidRPr="00D333A9" w:rsidRDefault="00B103D6" w:rsidP="009B295D">
            <w:pPr>
              <w:autoSpaceDE w:val="0"/>
              <w:autoSpaceDN w:val="0"/>
              <w:adjustRightInd w:val="0"/>
              <w:rPr>
                <w:rFonts w:cs="Arial"/>
                <w:bCs/>
                <w:szCs w:val="24"/>
                <w:lang w:val="fr-BE"/>
              </w:rPr>
            </w:pPr>
          </w:p>
        </w:tc>
      </w:tr>
      <w:tr w:rsidR="00B103D6" w:rsidRPr="00D333A9" w:rsidTr="002940D1">
        <w:tc>
          <w:tcPr>
            <w:tcW w:w="2737" w:type="dxa"/>
            <w:shd w:val="clear" w:color="auto" w:fill="auto"/>
          </w:tcPr>
          <w:p w:rsidR="00B103D6" w:rsidRPr="00D333A9" w:rsidRDefault="00500547" w:rsidP="009B295D">
            <w:pPr>
              <w:autoSpaceDE w:val="0"/>
              <w:autoSpaceDN w:val="0"/>
              <w:adjustRightInd w:val="0"/>
              <w:rPr>
                <w:rFonts w:cs="Arial"/>
                <w:bCs/>
                <w:szCs w:val="24"/>
                <w:lang w:val="fr-BE"/>
              </w:rPr>
            </w:pPr>
            <w:r w:rsidRPr="00D333A9">
              <w:rPr>
                <w:rFonts w:cs="Arial"/>
                <w:bCs/>
                <w:szCs w:val="24"/>
                <w:lang w:val="fr-BE"/>
              </w:rPr>
              <w:t>HUART Katia</w:t>
            </w:r>
          </w:p>
        </w:tc>
        <w:tc>
          <w:tcPr>
            <w:tcW w:w="3617" w:type="dxa"/>
            <w:shd w:val="clear" w:color="auto" w:fill="auto"/>
          </w:tcPr>
          <w:p w:rsidR="00B103D6" w:rsidRPr="00D333A9" w:rsidRDefault="003116B8" w:rsidP="009B295D">
            <w:pPr>
              <w:autoSpaceDE w:val="0"/>
              <w:autoSpaceDN w:val="0"/>
              <w:adjustRightInd w:val="0"/>
              <w:rPr>
                <w:rFonts w:cs="Arial"/>
                <w:bCs/>
                <w:szCs w:val="24"/>
                <w:lang w:val="fr-BE"/>
              </w:rPr>
            </w:pPr>
            <w:r w:rsidRPr="00D333A9">
              <w:rPr>
                <w:rFonts w:cs="Arial"/>
                <w:bCs/>
                <w:szCs w:val="24"/>
                <w:lang w:val="fr-BE"/>
              </w:rPr>
              <w:t>SPF Santé Publique</w:t>
            </w:r>
          </w:p>
        </w:tc>
        <w:tc>
          <w:tcPr>
            <w:tcW w:w="2673" w:type="dxa"/>
            <w:shd w:val="clear" w:color="auto" w:fill="auto"/>
          </w:tcPr>
          <w:p w:rsidR="00B103D6" w:rsidRPr="00D333A9" w:rsidRDefault="00B103D6" w:rsidP="009B295D">
            <w:pPr>
              <w:autoSpaceDE w:val="0"/>
              <w:autoSpaceDN w:val="0"/>
              <w:adjustRightInd w:val="0"/>
              <w:rPr>
                <w:rFonts w:cs="Arial"/>
                <w:bCs/>
                <w:szCs w:val="24"/>
                <w:lang w:val="fr-BE"/>
              </w:rPr>
            </w:pPr>
          </w:p>
        </w:tc>
      </w:tr>
    </w:tbl>
    <w:p w:rsidR="00702B63" w:rsidRPr="00D333A9" w:rsidRDefault="00702B63" w:rsidP="009B295D">
      <w:pPr>
        <w:autoSpaceDE w:val="0"/>
        <w:autoSpaceDN w:val="0"/>
        <w:adjustRightInd w:val="0"/>
        <w:contextualSpacing/>
        <w:rPr>
          <w:rFonts w:cs="Arial"/>
          <w:bCs/>
          <w:szCs w:val="24"/>
          <w:lang w:val="fr-BE"/>
        </w:rPr>
      </w:pPr>
    </w:p>
    <w:p w:rsidR="009B295D" w:rsidRPr="009B295D" w:rsidRDefault="00976EF2" w:rsidP="009B295D">
      <w:pPr>
        <w:autoSpaceDE w:val="0"/>
        <w:autoSpaceDN w:val="0"/>
        <w:adjustRightInd w:val="0"/>
        <w:contextualSpacing/>
        <w:rPr>
          <w:rFonts w:cs="Arial"/>
          <w:bCs/>
          <w:szCs w:val="24"/>
          <w:lang w:val="fr-BE"/>
        </w:rPr>
      </w:pPr>
      <w:r w:rsidRPr="00D333A9">
        <w:rPr>
          <w:rFonts w:cs="Arial"/>
          <w:bCs/>
          <w:szCs w:val="24"/>
          <w:lang w:val="fr-BE"/>
        </w:rPr>
        <w:t>Le groupe de travail permanent en charge du domaine santé mentale et le groupe de travail permanent en charge du domaine nutrition et santé, y compris la sécurité alimentaire ont approuvé l’avis.</w:t>
      </w:r>
      <w:r w:rsidR="009B295D">
        <w:rPr>
          <w:rFonts w:cs="Arial"/>
          <w:bCs/>
          <w:szCs w:val="24"/>
          <w:lang w:val="fr-BE"/>
        </w:rPr>
        <w:t xml:space="preserve"> </w:t>
      </w:r>
      <w:r w:rsidR="00B103D6" w:rsidRPr="00D333A9">
        <w:rPr>
          <w:rFonts w:cs="Arial"/>
          <w:bCs/>
          <w:szCs w:val="24"/>
          <w:lang w:val="fr-BE"/>
        </w:rPr>
        <w:t>La traduction a été réalisée en externe.</w:t>
      </w:r>
    </w:p>
    <w:p w:rsidR="0055220F" w:rsidRPr="0055220F" w:rsidRDefault="0055220F" w:rsidP="0055220F">
      <w:pPr>
        <w:pBdr>
          <w:top w:val="single" w:sz="4" w:space="1" w:color="auto"/>
          <w:left w:val="single" w:sz="4" w:space="4" w:color="auto"/>
          <w:bottom w:val="single" w:sz="4" w:space="1" w:color="auto"/>
          <w:right w:val="single" w:sz="4" w:space="4" w:color="auto"/>
        </w:pBdr>
        <w:rPr>
          <w:b/>
          <w:lang w:val="fr-FR" w:eastAsia="fr-FR" w:bidi="fr-FR"/>
        </w:rPr>
      </w:pPr>
    </w:p>
    <w:p w:rsidR="0055220F" w:rsidRPr="0055220F" w:rsidRDefault="0055220F" w:rsidP="0055220F">
      <w:pPr>
        <w:pBdr>
          <w:top w:val="single" w:sz="4" w:space="1" w:color="auto"/>
          <w:left w:val="single" w:sz="4" w:space="4" w:color="auto"/>
          <w:bottom w:val="single" w:sz="4" w:space="1" w:color="auto"/>
          <w:right w:val="single" w:sz="4" w:space="4" w:color="auto"/>
        </w:pBdr>
        <w:rPr>
          <w:rFonts w:eastAsia="Times New Roman" w:cs="Times New Roman"/>
          <w:szCs w:val="20"/>
          <w:lang w:val="fr-FR" w:eastAsia="fr-FR" w:bidi="fr-FR"/>
        </w:rPr>
      </w:pPr>
      <w:r w:rsidRPr="0055220F">
        <w:rPr>
          <w:b/>
          <w:lang w:val="fr-FR" w:eastAsia="fr-FR" w:bidi="fr-FR"/>
        </w:rPr>
        <w:t>Au sujet du Conseil Supérieur de la Santé (CSS)</w:t>
      </w:r>
    </w:p>
    <w:p w:rsidR="0055220F" w:rsidRPr="0055220F" w:rsidRDefault="0055220F" w:rsidP="0055220F">
      <w:pPr>
        <w:pBdr>
          <w:top w:val="single" w:sz="4" w:space="1" w:color="auto"/>
          <w:left w:val="single" w:sz="4" w:space="4" w:color="auto"/>
          <w:bottom w:val="single" w:sz="4" w:space="1" w:color="auto"/>
          <w:right w:val="single" w:sz="4" w:space="4" w:color="auto"/>
        </w:pBdr>
        <w:rPr>
          <w:rFonts w:eastAsia="Times New Roman" w:cs="Times New Roman"/>
          <w:szCs w:val="20"/>
          <w:lang w:val="fr-FR" w:eastAsia="fr-FR" w:bidi="fr-FR"/>
        </w:rPr>
      </w:pPr>
    </w:p>
    <w:p w:rsidR="0055220F" w:rsidRPr="0055220F" w:rsidRDefault="0055220F" w:rsidP="0055220F">
      <w:pPr>
        <w:pBdr>
          <w:top w:val="single" w:sz="4" w:space="1" w:color="auto"/>
          <w:left w:val="single" w:sz="4" w:space="4" w:color="auto"/>
          <w:bottom w:val="single" w:sz="4" w:space="1" w:color="auto"/>
          <w:right w:val="single" w:sz="4" w:space="4" w:color="auto"/>
        </w:pBdr>
        <w:rPr>
          <w:rFonts w:eastAsia="Times New Roman" w:cs="Times New Roman"/>
          <w:szCs w:val="20"/>
          <w:lang w:val="fr-FR" w:eastAsia="fr-FR" w:bidi="fr-FR"/>
        </w:rPr>
      </w:pPr>
      <w:r w:rsidRPr="0055220F">
        <w:rPr>
          <w:lang w:val="fr-FR" w:eastAsia="fr-FR" w:bidi="fr-FR"/>
        </w:rPr>
        <w:t>Le Conseil Supérieur de la Santé est un organe d’avis fédéral dont le secrétariat est assuré par le Service Fédéral Santé publique, Sécurité de la Chaîne alimentaire et Environnement. Il a été fondé en 1849 et rend des avis scientifiques relatifs à la santé publique aux ministres de la Santé publique et de l’Environnement, à leurs administrations et à quelques agences. Ces avis sont émis sur demande ou d’initiative. Le CSS s’efforce d’indiquer aux décideurs politiques la voie à suivre en matière de santé publique sur base des connaissances scientifiques les plus récentes.</w:t>
      </w:r>
    </w:p>
    <w:p w:rsidR="0055220F" w:rsidRPr="0055220F" w:rsidRDefault="0055220F" w:rsidP="0055220F">
      <w:pPr>
        <w:pBdr>
          <w:top w:val="single" w:sz="4" w:space="1" w:color="auto"/>
          <w:left w:val="single" w:sz="4" w:space="4" w:color="auto"/>
          <w:bottom w:val="single" w:sz="4" w:space="1" w:color="auto"/>
          <w:right w:val="single" w:sz="4" w:space="4" w:color="auto"/>
        </w:pBdr>
        <w:rPr>
          <w:rFonts w:eastAsia="Times New Roman" w:cs="Times New Roman"/>
          <w:szCs w:val="20"/>
          <w:lang w:val="fr-FR" w:eastAsia="fr-FR" w:bidi="fr-FR"/>
        </w:rPr>
      </w:pPr>
    </w:p>
    <w:p w:rsidR="0055220F" w:rsidRPr="0055220F" w:rsidRDefault="0055220F" w:rsidP="0055220F">
      <w:pPr>
        <w:pBdr>
          <w:top w:val="single" w:sz="4" w:space="1" w:color="auto"/>
          <w:left w:val="single" w:sz="4" w:space="4" w:color="auto"/>
          <w:bottom w:val="single" w:sz="4" w:space="1" w:color="auto"/>
          <w:right w:val="single" w:sz="4" w:space="4" w:color="auto"/>
        </w:pBdr>
        <w:rPr>
          <w:rFonts w:eastAsia="Times New Roman" w:cs="Times New Roman"/>
          <w:szCs w:val="20"/>
          <w:lang w:val="fr-FR" w:eastAsia="fr-FR" w:bidi="fr-FR"/>
        </w:rPr>
      </w:pPr>
      <w:r w:rsidRPr="0055220F">
        <w:rPr>
          <w:lang w:val="fr-FR" w:eastAsia="fr-FR" w:bidi="fr-FR"/>
        </w:rPr>
        <w:t>Outre son secrétariat interne composé d’environ 25 collaborateurs, le Conseil fait appel à un large réseau de plus de 500 experts (professeurs d’université, collaborateurs d’institutions scientifiques, acteurs de terrain, etc.), parmi lesquels 300 sont nommés par arrêté royal au titre d’expert du Conseil. Les experts se réunissent au sein de groupes de travail pluridisciplinaires afin d’élaborer les avis.</w:t>
      </w:r>
    </w:p>
    <w:p w:rsidR="0055220F" w:rsidRPr="0055220F" w:rsidRDefault="0055220F" w:rsidP="0055220F">
      <w:pPr>
        <w:pBdr>
          <w:top w:val="single" w:sz="4" w:space="1" w:color="auto"/>
          <w:left w:val="single" w:sz="4" w:space="4" w:color="auto"/>
          <w:bottom w:val="single" w:sz="4" w:space="1" w:color="auto"/>
          <w:right w:val="single" w:sz="4" w:space="4" w:color="auto"/>
        </w:pBdr>
        <w:rPr>
          <w:rFonts w:eastAsia="Times New Roman" w:cs="Times New Roman"/>
          <w:szCs w:val="20"/>
          <w:lang w:val="fr-FR" w:eastAsia="fr-FR" w:bidi="fr-FR"/>
        </w:rPr>
      </w:pPr>
    </w:p>
    <w:p w:rsidR="0055220F" w:rsidRPr="0055220F" w:rsidRDefault="0055220F" w:rsidP="0055220F">
      <w:pPr>
        <w:pBdr>
          <w:top w:val="single" w:sz="4" w:space="1" w:color="auto"/>
          <w:left w:val="single" w:sz="4" w:space="4" w:color="auto"/>
          <w:bottom w:val="single" w:sz="4" w:space="1" w:color="auto"/>
          <w:right w:val="single" w:sz="4" w:space="4" w:color="auto"/>
        </w:pBdr>
        <w:rPr>
          <w:rFonts w:eastAsia="Times New Roman" w:cs="Times New Roman"/>
          <w:szCs w:val="20"/>
          <w:lang w:val="fr-FR" w:eastAsia="fr-FR" w:bidi="fr-FR"/>
        </w:rPr>
      </w:pPr>
      <w:r w:rsidRPr="0055220F">
        <w:rPr>
          <w:lang w:val="fr-FR" w:eastAsia="fr-FR" w:bidi="fr-FR"/>
        </w:rPr>
        <w:t>En tant qu'organe officiel, le Conseil Supérieur de la Santé estime fondamental de garantir la neutralité et l'impartialité des avis scientifiques qu'il délivre. A cette fin, il s'est doté d'une structure, de règles et de procédures permettant de répondre efficacement à ces besoins et ce, à chaque étape du cheminement des avis. Les étapes clé dans cette matière sont l'analyse préalable de la demande, la désignation des experts au sein des groupes de travail, l'application d'un système de gestion des conflits d'intérêts potentiels (reposant sur des déclarations d'intérêt, un examen des conflits possibles, et une Commission de Déontologie) et la validation finale des avis par le Collège (organe décisionnel du CSS, constitué de 30 membres issus du pool des experts nommés). Cet ensemble cohérent doit permettre la délivrance d'avis basés sur l'expertise scientifique la plus pointue disponible et ce, dans la plus grande impartialité possible.</w:t>
      </w:r>
    </w:p>
    <w:p w:rsidR="0055220F" w:rsidRPr="0055220F" w:rsidRDefault="0055220F" w:rsidP="0055220F">
      <w:pPr>
        <w:pBdr>
          <w:top w:val="single" w:sz="4" w:space="1" w:color="auto"/>
          <w:left w:val="single" w:sz="4" w:space="4" w:color="auto"/>
          <w:bottom w:val="single" w:sz="4" w:space="1" w:color="auto"/>
          <w:right w:val="single" w:sz="4" w:space="4" w:color="auto"/>
        </w:pBdr>
        <w:rPr>
          <w:rFonts w:eastAsia="Times New Roman" w:cs="Times New Roman"/>
          <w:szCs w:val="20"/>
          <w:lang w:val="fr-FR" w:eastAsia="fr-FR" w:bidi="fr-FR"/>
        </w:rPr>
      </w:pPr>
    </w:p>
    <w:p w:rsidR="0055220F" w:rsidRPr="0055220F" w:rsidRDefault="0055220F" w:rsidP="0055220F">
      <w:pPr>
        <w:pBdr>
          <w:top w:val="single" w:sz="4" w:space="1" w:color="auto"/>
          <w:left w:val="single" w:sz="4" w:space="4" w:color="auto"/>
          <w:bottom w:val="single" w:sz="4" w:space="1" w:color="auto"/>
          <w:right w:val="single" w:sz="4" w:space="4" w:color="auto"/>
        </w:pBdr>
        <w:rPr>
          <w:rFonts w:eastAsia="Times New Roman" w:cs="Times New Roman"/>
          <w:szCs w:val="20"/>
          <w:lang w:val="fr-FR" w:eastAsia="fr-FR" w:bidi="fr-FR"/>
        </w:rPr>
      </w:pPr>
      <w:r w:rsidRPr="0055220F">
        <w:rPr>
          <w:lang w:val="fr-FR" w:eastAsia="fr-FR" w:bidi="fr-FR"/>
        </w:rPr>
        <w:t>Après validation par le Collège, les avis sont transmis au requérant et au ministre de la Santé publique et sont rendus publics sur le site internet (</w:t>
      </w:r>
      <w:hyperlink r:id="rId26">
        <w:r w:rsidRPr="0055220F">
          <w:rPr>
            <w:color w:val="0000FF"/>
            <w:u w:val="single"/>
            <w:lang w:val="fr-FR" w:eastAsia="fr-FR" w:bidi="fr-FR"/>
          </w:rPr>
          <w:t>www.hgr-css.be</w:t>
        </w:r>
      </w:hyperlink>
      <w:r w:rsidRPr="0055220F">
        <w:rPr>
          <w:color w:val="0000FF"/>
          <w:u w:val="single"/>
          <w:lang w:val="fr-FR" w:eastAsia="fr-FR" w:bidi="fr-FR"/>
        </w:rPr>
        <w:t>)</w:t>
      </w:r>
      <w:r w:rsidRPr="0055220F">
        <w:rPr>
          <w:lang w:val="fr-FR" w:eastAsia="fr-FR" w:bidi="fr-FR"/>
        </w:rPr>
        <w:t>. Un certain nombre d’entre eux sont en outre communiqués à la presse et aux groupes cibles concernés (professionnels du secteur des soins de santé, universités, monde politique, associations de consommateurs, etc.).</w:t>
      </w:r>
    </w:p>
    <w:p w:rsidR="0055220F" w:rsidRPr="0055220F" w:rsidRDefault="0055220F" w:rsidP="0055220F">
      <w:pPr>
        <w:pBdr>
          <w:top w:val="single" w:sz="4" w:space="1" w:color="auto"/>
          <w:left w:val="single" w:sz="4" w:space="4" w:color="auto"/>
          <w:bottom w:val="single" w:sz="4" w:space="1" w:color="auto"/>
          <w:right w:val="single" w:sz="4" w:space="4" w:color="auto"/>
        </w:pBdr>
        <w:rPr>
          <w:rFonts w:eastAsia="Times New Roman" w:cs="Times New Roman"/>
          <w:szCs w:val="20"/>
          <w:lang w:val="fr-FR" w:eastAsia="fr-FR" w:bidi="fr-FR"/>
        </w:rPr>
      </w:pPr>
    </w:p>
    <w:p w:rsidR="0055220F" w:rsidRPr="0055220F" w:rsidRDefault="0055220F" w:rsidP="0055220F">
      <w:pPr>
        <w:pBdr>
          <w:top w:val="single" w:sz="4" w:space="1" w:color="auto"/>
          <w:left w:val="single" w:sz="4" w:space="4" w:color="auto"/>
          <w:bottom w:val="single" w:sz="4" w:space="1" w:color="auto"/>
          <w:right w:val="single" w:sz="4" w:space="4" w:color="auto"/>
        </w:pBdr>
        <w:rPr>
          <w:lang w:val="fr-FR" w:eastAsia="fr-FR" w:bidi="fr-FR"/>
        </w:rPr>
      </w:pPr>
      <w:r w:rsidRPr="0055220F">
        <w:rPr>
          <w:lang w:val="fr-FR" w:eastAsia="fr-FR" w:bidi="fr-FR"/>
        </w:rPr>
        <w:t xml:space="preserve">Si vous souhaitez rester informé des activités et publications du CSS, vous pouvez envoyer un mail à l’adresse suivante : </w:t>
      </w:r>
      <w:hyperlink r:id="rId27">
        <w:r w:rsidRPr="0055220F">
          <w:rPr>
            <w:color w:val="0000FF"/>
            <w:u w:val="single"/>
            <w:lang w:val="fr-FR" w:eastAsia="fr-FR" w:bidi="fr-FR"/>
          </w:rPr>
          <w:t>info.hgr-css@health.belgium.be</w:t>
        </w:r>
      </w:hyperlink>
      <w:r w:rsidRPr="0055220F">
        <w:rPr>
          <w:lang w:val="fr-FR" w:eastAsia="fr-FR" w:bidi="fr-FR"/>
        </w:rPr>
        <w:t>.</w:t>
      </w:r>
    </w:p>
    <w:p w:rsidR="0055220F" w:rsidRPr="0055220F" w:rsidRDefault="0055220F" w:rsidP="0055220F">
      <w:pPr>
        <w:pBdr>
          <w:top w:val="single" w:sz="4" w:space="1" w:color="auto"/>
          <w:left w:val="single" w:sz="4" w:space="4" w:color="auto"/>
          <w:bottom w:val="single" w:sz="4" w:space="1" w:color="auto"/>
          <w:right w:val="single" w:sz="4" w:space="4" w:color="auto"/>
        </w:pBdr>
        <w:rPr>
          <w:lang w:val="fr-FR" w:eastAsia="fr-FR" w:bidi="fr-FR"/>
        </w:rPr>
      </w:pPr>
    </w:p>
    <w:p w:rsidR="0055220F" w:rsidRPr="0055220F" w:rsidRDefault="0055220F" w:rsidP="0055220F">
      <w:pPr>
        <w:spacing w:after="200" w:line="276" w:lineRule="auto"/>
        <w:jc w:val="left"/>
        <w:rPr>
          <w:rFonts w:asciiTheme="minorHAnsi" w:hAnsiTheme="minorHAnsi"/>
          <w:lang w:val="fr-FR" w:eastAsia="fr-FR" w:bidi="fr-FR"/>
        </w:rPr>
      </w:pPr>
    </w:p>
    <w:p w:rsidR="0055220F" w:rsidRPr="0055220F" w:rsidRDefault="0055220F">
      <w:pPr>
        <w:spacing w:after="200" w:line="276" w:lineRule="auto"/>
        <w:jc w:val="left"/>
        <w:rPr>
          <w:rFonts w:eastAsiaTheme="majorEastAsia" w:cstheme="majorBidi"/>
          <w:b/>
          <w:bCs/>
          <w:caps/>
          <w:szCs w:val="28"/>
          <w:lang w:val="fr-FR"/>
        </w:rPr>
      </w:pPr>
    </w:p>
    <w:sectPr w:rsidR="0055220F" w:rsidRPr="0055220F" w:rsidSect="00655E48">
      <w:headerReference w:type="default" r:id="rId28"/>
      <w:footerReference w:type="default" r:id="rId29"/>
      <w:type w:val="continuous"/>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0F5" w:rsidRDefault="006450F5" w:rsidP="002C4493">
      <w:r>
        <w:separator/>
      </w:r>
    </w:p>
  </w:endnote>
  <w:endnote w:type="continuationSeparator" w:id="0">
    <w:p w:rsidR="006450F5" w:rsidRDefault="006450F5" w:rsidP="002C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Pro-Regular">
    <w:altName w:val="Cambria"/>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Open Sans">
    <w:altName w:val="Open Sans"/>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2C" w:rsidRDefault="000A362C" w:rsidP="002C4493">
    <w:pPr>
      <w:pStyle w:val="Lgende"/>
      <w:framePr w:wrap="around"/>
      <w:rPr>
        <w:b/>
        <w:bCs/>
        <w:i w:val="0"/>
        <w:iCs w:val="0"/>
      </w:rPr>
    </w:pPr>
    <w:r>
      <w:rPr>
        <w:b/>
        <w:bCs/>
        <w:i w:val="0"/>
        <w:iCs w:val="0"/>
      </w:rPr>
      <w:t>Conseil Supérieur de la Santé</w:t>
    </w:r>
  </w:p>
  <w:p w:rsidR="000A362C" w:rsidRDefault="000A362C" w:rsidP="002C4493">
    <w:pPr>
      <w:pStyle w:val="Lgende"/>
      <w:framePr w:wrap="around"/>
      <w:rPr>
        <w:b/>
        <w:bCs/>
        <w:i w:val="0"/>
        <w:iCs w:val="0"/>
      </w:rPr>
    </w:pPr>
    <w:r>
      <w:rPr>
        <w:i w:val="0"/>
        <w:iCs w:val="0"/>
      </w:rPr>
      <w:t>www.css-hgr.be</w:t>
    </w:r>
  </w:p>
  <w:p w:rsidR="000A362C" w:rsidRDefault="000A362C" w:rsidP="002C4493">
    <w:pPr>
      <w:pStyle w:val="Pieddepage"/>
      <w:framePr w:wrap="around" w:vAnchor="text" w:hAnchor="page" w:x="6022" w:y="1"/>
      <w:rPr>
        <w:rFonts w:cs="Arial"/>
        <w:lang w:val="fr-BE"/>
      </w:rPr>
    </w:pPr>
  </w:p>
  <w:p w:rsidR="000A362C" w:rsidRDefault="000A362C" w:rsidP="002C4493">
    <w:pPr>
      <w:pStyle w:val="Pieddepage"/>
      <w:framePr w:wrap="around" w:vAnchor="text" w:hAnchor="page" w:x="6022" w:y="1"/>
      <w:rPr>
        <w:rStyle w:val="Numrodepage"/>
        <w:rFonts w:cs="Arial"/>
      </w:rPr>
    </w:pPr>
    <w:r>
      <w:rPr>
        <w:rFonts w:cs="Arial"/>
        <w:lang w:val="fr-BE"/>
      </w:rPr>
      <w:t xml:space="preserve">− </w:t>
    </w:r>
    <w:r>
      <w:rPr>
        <w:rStyle w:val="Numrodepage"/>
        <w:rFonts w:cs="Arial"/>
      </w:rPr>
      <w:fldChar w:fldCharType="begin"/>
    </w:r>
    <w:r>
      <w:rPr>
        <w:rStyle w:val="Numrodepage"/>
        <w:rFonts w:cs="Arial"/>
      </w:rPr>
      <w:instrText xml:space="preserve">PAGE  </w:instrText>
    </w:r>
    <w:r>
      <w:rPr>
        <w:rStyle w:val="Numrodepage"/>
        <w:rFonts w:cs="Arial"/>
      </w:rPr>
      <w:fldChar w:fldCharType="separate"/>
    </w:r>
    <w:r w:rsidR="009B295D">
      <w:rPr>
        <w:rStyle w:val="Numrodepage"/>
        <w:rFonts w:cs="Arial"/>
        <w:noProof/>
      </w:rPr>
      <w:t>30</w:t>
    </w:r>
    <w:r>
      <w:rPr>
        <w:rStyle w:val="Numrodepage"/>
        <w:rFonts w:cs="Arial"/>
      </w:rPr>
      <w:fldChar w:fldCharType="end"/>
    </w:r>
    <w:r>
      <w:rPr>
        <w:rStyle w:val="Numrodepage"/>
        <w:rFonts w:cs="Arial"/>
      </w:rPr>
      <w:t xml:space="preserve"> </w:t>
    </w:r>
    <w:r>
      <w:rPr>
        <w:rFonts w:cs="Arial"/>
        <w:lang w:val="fr-BE"/>
      </w:rPr>
      <w:t>−</w:t>
    </w:r>
  </w:p>
  <w:p w:rsidR="000A362C" w:rsidRDefault="000A362C">
    <w:pPr>
      <w:pStyle w:val="Pieddepage"/>
    </w:pPr>
    <w:r>
      <w:rPr>
        <w:noProof/>
      </w:rPr>
      <w:drawing>
        <wp:anchor distT="0" distB="0" distL="114300" distR="114300" simplePos="0" relativeHeight="251664384" behindDoc="1" locked="0" layoutInCell="1" allowOverlap="1" wp14:anchorId="4B8A9460" wp14:editId="1E6B05A9">
          <wp:simplePos x="0" y="0"/>
          <wp:positionH relativeFrom="page">
            <wp:align>left</wp:align>
          </wp:positionH>
          <wp:positionV relativeFrom="page">
            <wp:align>bottom</wp:align>
          </wp:positionV>
          <wp:extent cx="7709535" cy="951230"/>
          <wp:effectExtent l="0" t="0" r="5715" b="1270"/>
          <wp:wrapNone/>
          <wp:docPr id="3" name="Image 3" descr="brief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iefhoof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9535" cy="9512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0F5" w:rsidRDefault="006450F5" w:rsidP="002C4493">
      <w:r>
        <w:separator/>
      </w:r>
    </w:p>
  </w:footnote>
  <w:footnote w:type="continuationSeparator" w:id="0">
    <w:p w:rsidR="006450F5" w:rsidRDefault="006450F5" w:rsidP="002C4493">
      <w:r>
        <w:continuationSeparator/>
      </w:r>
    </w:p>
  </w:footnote>
  <w:footnote w:id="1">
    <w:p w:rsidR="000A362C" w:rsidRPr="002C4493" w:rsidRDefault="000A362C" w:rsidP="002C4493">
      <w:pPr>
        <w:rPr>
          <w:bCs/>
          <w:sz w:val="16"/>
          <w:szCs w:val="16"/>
          <w:lang w:val="fr-BE"/>
        </w:rPr>
      </w:pPr>
      <w:r w:rsidRPr="00E5277F">
        <w:rPr>
          <w:rStyle w:val="Appelnotedebasdep"/>
          <w:sz w:val="16"/>
          <w:szCs w:val="16"/>
        </w:rPr>
        <w:footnoteRef/>
      </w:r>
      <w:r w:rsidRPr="002C4493">
        <w:rPr>
          <w:sz w:val="16"/>
          <w:szCs w:val="16"/>
          <w:lang w:val="fr-BE"/>
        </w:rPr>
        <w:t xml:space="preserve"> </w:t>
      </w:r>
      <w:r w:rsidRPr="002C4493">
        <w:rPr>
          <w:bCs/>
          <w:sz w:val="16"/>
          <w:szCs w:val="16"/>
          <w:lang w:val="fr-BE"/>
        </w:rPr>
        <w:t>Le Conseil se réserve le droit de pouvoir apporter, à tout moment, des corrections typographiques mineures à ce document. Par contre, les corrections de sens sont d’office reprises dans un erratum et donnent lieu à une nouvelle version de l’avis.</w:t>
      </w:r>
    </w:p>
  </w:footnote>
  <w:footnote w:id="2">
    <w:p w:rsidR="000A362C" w:rsidRPr="001D0D2F" w:rsidRDefault="000A362C">
      <w:pPr>
        <w:pStyle w:val="Notedebasdepage"/>
        <w:rPr>
          <w:sz w:val="16"/>
          <w:szCs w:val="16"/>
          <w:lang w:val="fr-BE"/>
        </w:rPr>
      </w:pPr>
      <w:r w:rsidRPr="001D0D2F">
        <w:rPr>
          <w:rStyle w:val="Appelnotedebasdep"/>
          <w:sz w:val="16"/>
          <w:szCs w:val="16"/>
        </w:rPr>
        <w:footnoteRef/>
      </w:r>
      <w:r w:rsidRPr="001D0D2F">
        <w:rPr>
          <w:sz w:val="16"/>
          <w:szCs w:val="16"/>
        </w:rPr>
        <w:t xml:space="preserve"> </w:t>
      </w:r>
      <w:r w:rsidRPr="001D0D2F">
        <w:rPr>
          <w:sz w:val="16"/>
          <w:szCs w:val="16"/>
          <w:lang w:val="fr-BE"/>
        </w:rPr>
        <w:t>Comme c’est le cas actuellement en fédération Wallonie-Bruxelles</w:t>
      </w:r>
    </w:p>
  </w:footnote>
  <w:footnote w:id="3">
    <w:p w:rsidR="000A362C" w:rsidRPr="001D0D2F" w:rsidRDefault="000A362C">
      <w:pPr>
        <w:pStyle w:val="Notedebasdepage"/>
        <w:rPr>
          <w:sz w:val="16"/>
          <w:szCs w:val="16"/>
        </w:rPr>
      </w:pPr>
      <w:r w:rsidRPr="001D0D2F">
        <w:rPr>
          <w:rStyle w:val="Appelnotedebasdep"/>
          <w:sz w:val="16"/>
          <w:szCs w:val="16"/>
        </w:rPr>
        <w:footnoteRef/>
      </w:r>
      <w:r w:rsidRPr="001D0D2F">
        <w:rPr>
          <w:sz w:val="16"/>
          <w:szCs w:val="16"/>
          <w:lang w:val="fr-BE"/>
        </w:rPr>
        <w:t xml:space="preserve"> </w:t>
      </w:r>
      <w:r w:rsidRPr="001D0D2F">
        <w:rPr>
          <w:sz w:val="16"/>
          <w:szCs w:val="16"/>
          <w:lang w:val="fr-BE"/>
        </w:rPr>
        <w:t xml:space="preserve">Par exemple à l’aide de l’outil « Outil d’aide au repérage précoce et intervention brève » publié par la Haute Autorité de Santé (HAS, 2014) ; voir </w:t>
      </w:r>
      <w:bookmarkStart w:id="1" w:name="_Hlk512934038"/>
      <w:r w:rsidRPr="001D0D2F">
        <w:rPr>
          <w:sz w:val="16"/>
          <w:szCs w:val="16"/>
          <w:lang w:val="fr-BE"/>
        </w:rPr>
        <w:t>aussi http://www.ssmg.be/cellules-specifiques/alcool</w:t>
      </w:r>
      <w:bookmarkEnd w:id="1"/>
      <w:r w:rsidRPr="001D0D2F">
        <w:rPr>
          <w:sz w:val="16"/>
          <w:szCs w:val="16"/>
          <w:lang w:val="fr-BE"/>
        </w:rPr>
        <w:t xml:space="preserve"> </w:t>
      </w:r>
    </w:p>
  </w:footnote>
  <w:footnote w:id="4">
    <w:p w:rsidR="000A362C" w:rsidRPr="001D0D2F" w:rsidRDefault="000A362C" w:rsidP="00284EB1">
      <w:pPr>
        <w:pStyle w:val="Notedebasdepage"/>
        <w:jc w:val="both"/>
        <w:rPr>
          <w:sz w:val="16"/>
          <w:szCs w:val="16"/>
          <w:lang w:val="fr-BE"/>
        </w:rPr>
      </w:pPr>
      <w:r w:rsidRPr="001D0D2F">
        <w:rPr>
          <w:rStyle w:val="Appelnotedebasdep"/>
          <w:sz w:val="16"/>
          <w:szCs w:val="16"/>
        </w:rPr>
        <w:footnoteRef/>
      </w:r>
      <w:r w:rsidRPr="001D0D2F">
        <w:rPr>
          <w:sz w:val="16"/>
          <w:szCs w:val="16"/>
        </w:rPr>
        <w:t xml:space="preserve"> Le Conseil tient à préciser que les termes </w:t>
      </w:r>
      <w:proofErr w:type="spellStart"/>
      <w:r w:rsidRPr="001D0D2F">
        <w:rPr>
          <w:sz w:val="16"/>
          <w:szCs w:val="16"/>
        </w:rPr>
        <w:t>MeSH</w:t>
      </w:r>
      <w:proofErr w:type="spellEnd"/>
      <w:r w:rsidRPr="001D0D2F">
        <w:rPr>
          <w:sz w:val="16"/>
          <w:szCs w:val="16"/>
        </w:rPr>
        <w:t xml:space="preserve"> et mots-clés sont utilisés à des fins de référencement et de définition aisés du scope de l'avis. </w:t>
      </w:r>
      <w:r w:rsidRPr="001D0D2F">
        <w:rPr>
          <w:sz w:val="16"/>
          <w:szCs w:val="16"/>
          <w:lang w:val="fr-BE"/>
        </w:rPr>
        <w:t>Pour de plus amples informations, voir le chapitre « méthodologie ».</w:t>
      </w:r>
    </w:p>
  </w:footnote>
  <w:footnote w:id="5">
    <w:p w:rsidR="000A362C" w:rsidRPr="008A5047" w:rsidRDefault="000A362C">
      <w:pPr>
        <w:pStyle w:val="Notedebasdepage"/>
        <w:rPr>
          <w:sz w:val="16"/>
          <w:szCs w:val="16"/>
          <w:lang w:val="fr-BE"/>
        </w:rPr>
      </w:pPr>
      <w:r w:rsidRPr="008A5047">
        <w:rPr>
          <w:rStyle w:val="Appelnotedebasdep"/>
          <w:sz w:val="16"/>
          <w:szCs w:val="16"/>
        </w:rPr>
        <w:footnoteRef/>
      </w:r>
      <w:r w:rsidRPr="008A5047">
        <w:rPr>
          <w:sz w:val="16"/>
          <w:szCs w:val="16"/>
        </w:rPr>
        <w:t xml:space="preserve"> La recommandation est en fait de 14 unités standards selon les normes en vigueur au RU (1 unité standard = 8</w:t>
      </w:r>
      <w:r>
        <w:rPr>
          <w:sz w:val="16"/>
          <w:szCs w:val="16"/>
        </w:rPr>
        <w:t xml:space="preserve"> </w:t>
      </w:r>
      <w:r w:rsidRPr="008A5047">
        <w:rPr>
          <w:sz w:val="16"/>
          <w:szCs w:val="16"/>
        </w:rPr>
        <w:t>g ou 10</w:t>
      </w:r>
      <w:r>
        <w:rPr>
          <w:sz w:val="16"/>
          <w:szCs w:val="16"/>
        </w:rPr>
        <w:t xml:space="preserve"> </w:t>
      </w:r>
      <w:r w:rsidRPr="008A5047">
        <w:rPr>
          <w:sz w:val="16"/>
          <w:szCs w:val="16"/>
        </w:rPr>
        <w:t>ml d’alcool pur), ce qui équivaut à 11 unités selon les normes en vigueur dans cet avis (1 unité = 10</w:t>
      </w:r>
      <w:r>
        <w:rPr>
          <w:sz w:val="16"/>
          <w:szCs w:val="16"/>
        </w:rPr>
        <w:t xml:space="preserve"> </w:t>
      </w:r>
      <w:r w:rsidRPr="008A5047">
        <w:rPr>
          <w:sz w:val="16"/>
          <w:szCs w:val="16"/>
        </w:rPr>
        <w:t>gr / 12,7 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2C" w:rsidRPr="00A700AB" w:rsidRDefault="000A362C" w:rsidP="00A700AB">
    <w:pPr>
      <w:pStyle w:val="En-tte"/>
      <w:jc w:val="right"/>
      <w:rPr>
        <w:sz w:val="12"/>
        <w:szCs w:val="1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220"/>
    <w:multiLevelType w:val="multilevel"/>
    <w:tmpl w:val="4DDA08CE"/>
    <w:numStyleLink w:val="HGRadvies"/>
  </w:abstractNum>
  <w:abstractNum w:abstractNumId="1" w15:restartNumberingAfterBreak="0">
    <w:nsid w:val="07807172"/>
    <w:multiLevelType w:val="hybridMultilevel"/>
    <w:tmpl w:val="DAC8AFE0"/>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52963"/>
    <w:multiLevelType w:val="hybridMultilevel"/>
    <w:tmpl w:val="5DEA5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97AF7"/>
    <w:multiLevelType w:val="hybridMultilevel"/>
    <w:tmpl w:val="ED789384"/>
    <w:lvl w:ilvl="0" w:tplc="6012E6D4">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D2276"/>
    <w:multiLevelType w:val="hybridMultilevel"/>
    <w:tmpl w:val="7666C8FE"/>
    <w:lvl w:ilvl="0" w:tplc="4BB618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45B51"/>
    <w:multiLevelType w:val="hybridMultilevel"/>
    <w:tmpl w:val="7248BEC4"/>
    <w:lvl w:ilvl="0" w:tplc="5D501FF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82320"/>
    <w:multiLevelType w:val="hybridMultilevel"/>
    <w:tmpl w:val="07CED2E6"/>
    <w:lvl w:ilvl="0" w:tplc="0A8CF8BC">
      <w:start w:val="19"/>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733A4"/>
    <w:multiLevelType w:val="hybridMultilevel"/>
    <w:tmpl w:val="BBD68EE8"/>
    <w:lvl w:ilvl="0" w:tplc="D0E8D67C">
      <w:start w:val="1"/>
      <w:numFmt w:val="bullet"/>
      <w:lvlText w:val="•"/>
      <w:lvlJc w:val="left"/>
      <w:pPr>
        <w:tabs>
          <w:tab w:val="num" w:pos="720"/>
        </w:tabs>
        <w:ind w:left="720" w:hanging="360"/>
      </w:pPr>
      <w:rPr>
        <w:rFonts w:ascii="Arial" w:hAnsi="Arial" w:hint="default"/>
      </w:rPr>
    </w:lvl>
    <w:lvl w:ilvl="1" w:tplc="11BE0BAA" w:tentative="1">
      <w:start w:val="1"/>
      <w:numFmt w:val="bullet"/>
      <w:lvlText w:val="•"/>
      <w:lvlJc w:val="left"/>
      <w:pPr>
        <w:tabs>
          <w:tab w:val="num" w:pos="1440"/>
        </w:tabs>
        <w:ind w:left="1440" w:hanging="360"/>
      </w:pPr>
      <w:rPr>
        <w:rFonts w:ascii="Arial" w:hAnsi="Arial" w:hint="default"/>
      </w:rPr>
    </w:lvl>
    <w:lvl w:ilvl="2" w:tplc="F15AD446" w:tentative="1">
      <w:start w:val="1"/>
      <w:numFmt w:val="bullet"/>
      <w:lvlText w:val="•"/>
      <w:lvlJc w:val="left"/>
      <w:pPr>
        <w:tabs>
          <w:tab w:val="num" w:pos="2160"/>
        </w:tabs>
        <w:ind w:left="2160" w:hanging="360"/>
      </w:pPr>
      <w:rPr>
        <w:rFonts w:ascii="Arial" w:hAnsi="Arial" w:hint="default"/>
      </w:rPr>
    </w:lvl>
    <w:lvl w:ilvl="3" w:tplc="26E46D9C" w:tentative="1">
      <w:start w:val="1"/>
      <w:numFmt w:val="bullet"/>
      <w:lvlText w:val="•"/>
      <w:lvlJc w:val="left"/>
      <w:pPr>
        <w:tabs>
          <w:tab w:val="num" w:pos="2880"/>
        </w:tabs>
        <w:ind w:left="2880" w:hanging="360"/>
      </w:pPr>
      <w:rPr>
        <w:rFonts w:ascii="Arial" w:hAnsi="Arial" w:hint="default"/>
      </w:rPr>
    </w:lvl>
    <w:lvl w:ilvl="4" w:tplc="5EFECD6E" w:tentative="1">
      <w:start w:val="1"/>
      <w:numFmt w:val="bullet"/>
      <w:lvlText w:val="•"/>
      <w:lvlJc w:val="left"/>
      <w:pPr>
        <w:tabs>
          <w:tab w:val="num" w:pos="3600"/>
        </w:tabs>
        <w:ind w:left="3600" w:hanging="360"/>
      </w:pPr>
      <w:rPr>
        <w:rFonts w:ascii="Arial" w:hAnsi="Arial" w:hint="default"/>
      </w:rPr>
    </w:lvl>
    <w:lvl w:ilvl="5" w:tplc="78D6289A" w:tentative="1">
      <w:start w:val="1"/>
      <w:numFmt w:val="bullet"/>
      <w:lvlText w:val="•"/>
      <w:lvlJc w:val="left"/>
      <w:pPr>
        <w:tabs>
          <w:tab w:val="num" w:pos="4320"/>
        </w:tabs>
        <w:ind w:left="4320" w:hanging="360"/>
      </w:pPr>
      <w:rPr>
        <w:rFonts w:ascii="Arial" w:hAnsi="Arial" w:hint="default"/>
      </w:rPr>
    </w:lvl>
    <w:lvl w:ilvl="6" w:tplc="1A5EF160" w:tentative="1">
      <w:start w:val="1"/>
      <w:numFmt w:val="bullet"/>
      <w:lvlText w:val="•"/>
      <w:lvlJc w:val="left"/>
      <w:pPr>
        <w:tabs>
          <w:tab w:val="num" w:pos="5040"/>
        </w:tabs>
        <w:ind w:left="5040" w:hanging="360"/>
      </w:pPr>
      <w:rPr>
        <w:rFonts w:ascii="Arial" w:hAnsi="Arial" w:hint="default"/>
      </w:rPr>
    </w:lvl>
    <w:lvl w:ilvl="7" w:tplc="B994E5E4" w:tentative="1">
      <w:start w:val="1"/>
      <w:numFmt w:val="bullet"/>
      <w:lvlText w:val="•"/>
      <w:lvlJc w:val="left"/>
      <w:pPr>
        <w:tabs>
          <w:tab w:val="num" w:pos="5760"/>
        </w:tabs>
        <w:ind w:left="5760" w:hanging="360"/>
      </w:pPr>
      <w:rPr>
        <w:rFonts w:ascii="Arial" w:hAnsi="Arial" w:hint="default"/>
      </w:rPr>
    </w:lvl>
    <w:lvl w:ilvl="8" w:tplc="FD64A9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BC5C63"/>
    <w:multiLevelType w:val="hybridMultilevel"/>
    <w:tmpl w:val="0A526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6E6D02"/>
    <w:multiLevelType w:val="hybridMultilevel"/>
    <w:tmpl w:val="8358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F62A3"/>
    <w:multiLevelType w:val="hybridMultilevel"/>
    <w:tmpl w:val="CBEC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07C22"/>
    <w:multiLevelType w:val="hybridMultilevel"/>
    <w:tmpl w:val="6C4E6E16"/>
    <w:lvl w:ilvl="0" w:tplc="AD4849B0">
      <w:start w:val="1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245A67"/>
    <w:multiLevelType w:val="hybridMultilevel"/>
    <w:tmpl w:val="ED2A2484"/>
    <w:lvl w:ilvl="0" w:tplc="D22446D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45598"/>
    <w:multiLevelType w:val="hybridMultilevel"/>
    <w:tmpl w:val="FE58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43FCA"/>
    <w:multiLevelType w:val="multilevel"/>
    <w:tmpl w:val="BEBCA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D76AD0"/>
    <w:multiLevelType w:val="multilevel"/>
    <w:tmpl w:val="19D6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5041F"/>
    <w:multiLevelType w:val="multilevel"/>
    <w:tmpl w:val="4DDA08CE"/>
    <w:styleLink w:val="HGRadvies"/>
    <w:lvl w:ilvl="0">
      <w:start w:val="1"/>
      <w:numFmt w:val="upperRoman"/>
      <w:pStyle w:val="Titre1"/>
      <w:lvlText w:val="%1"/>
      <w:lvlJc w:val="left"/>
      <w:pPr>
        <w:ind w:left="720" w:hanging="363"/>
      </w:pPr>
      <w:rPr>
        <w:rFonts w:ascii="Arial" w:hAnsi="Arial" w:hint="default"/>
        <w:b/>
        <w:caps/>
        <w:smallCaps w:val="0"/>
        <w:strike w:val="0"/>
        <w:dstrike w:val="0"/>
        <w:vanish w:val="0"/>
        <w:sz w:val="22"/>
        <w:vertAlign w:val="baseline"/>
      </w:rPr>
    </w:lvl>
    <w:lvl w:ilvl="1">
      <w:start w:val="1"/>
      <w:numFmt w:val="decimal"/>
      <w:pStyle w:val="Titre2"/>
      <w:lvlText w:val="%2"/>
      <w:lvlJc w:val="left"/>
      <w:pPr>
        <w:ind w:left="720" w:hanging="363"/>
      </w:pPr>
      <w:rPr>
        <w:rFonts w:ascii="Arial" w:hAnsi="Arial" w:hint="default"/>
        <w:b/>
        <w:caps w:val="0"/>
        <w:smallCaps w:val="0"/>
        <w:strike w:val="0"/>
        <w:dstrike w:val="0"/>
        <w:vanish w:val="0"/>
        <w:sz w:val="22"/>
        <w:vertAlign w:val="baseline"/>
      </w:rPr>
    </w:lvl>
    <w:lvl w:ilvl="2">
      <w:start w:val="1"/>
      <w:numFmt w:val="decimal"/>
      <w:pStyle w:val="Titre3"/>
      <w:lvlText w:val="%2.%3"/>
      <w:lvlJc w:val="left"/>
      <w:pPr>
        <w:ind w:left="720" w:hanging="363"/>
      </w:pPr>
      <w:rPr>
        <w:rFonts w:ascii="Arial" w:hAnsi="Arial" w:hint="default"/>
        <w:b w:val="0"/>
        <w:i w:val="0"/>
        <w:caps w:val="0"/>
        <w:smallCaps w:val="0"/>
        <w:strike w:val="0"/>
        <w:dstrike w:val="0"/>
        <w:vanish w:val="0"/>
        <w:sz w:val="22"/>
        <w:vertAlign w:val="baseline"/>
      </w:rPr>
    </w:lvl>
    <w:lvl w:ilvl="3">
      <w:start w:val="1"/>
      <w:numFmt w:val="decimal"/>
      <w:pStyle w:val="Titre4"/>
      <w:lvlText w:val="%2.%3.%4"/>
      <w:lvlJc w:val="left"/>
      <w:pPr>
        <w:ind w:left="720" w:hanging="363"/>
      </w:pPr>
      <w:rPr>
        <w:rFonts w:ascii="Arial" w:hAnsi="Arial" w:hint="default"/>
        <w:i/>
        <w:sz w:val="22"/>
      </w:rPr>
    </w:lvl>
    <w:lvl w:ilvl="4">
      <w:start w:val="1"/>
      <w:numFmt w:val="lowerLetter"/>
      <w:lvlText w:val="(%5)"/>
      <w:lvlJc w:val="left"/>
      <w:pPr>
        <w:ind w:left="720" w:hanging="363"/>
      </w:pPr>
      <w:rPr>
        <w:rFonts w:hint="default"/>
      </w:rPr>
    </w:lvl>
    <w:lvl w:ilvl="5">
      <w:start w:val="1"/>
      <w:numFmt w:val="lowerRoman"/>
      <w:lvlText w:val="(%6)"/>
      <w:lvlJc w:val="lef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left"/>
      <w:pPr>
        <w:ind w:left="720" w:hanging="363"/>
      </w:pPr>
      <w:rPr>
        <w:rFonts w:hint="default"/>
      </w:rPr>
    </w:lvl>
  </w:abstractNum>
  <w:abstractNum w:abstractNumId="17" w15:restartNumberingAfterBreak="0">
    <w:nsid w:val="4C121E39"/>
    <w:multiLevelType w:val="hybridMultilevel"/>
    <w:tmpl w:val="607CF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7F3A4C"/>
    <w:multiLevelType w:val="hybridMultilevel"/>
    <w:tmpl w:val="6038C550"/>
    <w:lvl w:ilvl="0" w:tplc="AA9A893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5242F"/>
    <w:multiLevelType w:val="hybridMultilevel"/>
    <w:tmpl w:val="66148344"/>
    <w:lvl w:ilvl="0" w:tplc="974CBC96">
      <w:start w:val="3"/>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23623E"/>
    <w:multiLevelType w:val="hybridMultilevel"/>
    <w:tmpl w:val="DBEEF218"/>
    <w:lvl w:ilvl="0" w:tplc="BC6C2E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73EA4"/>
    <w:multiLevelType w:val="hybridMultilevel"/>
    <w:tmpl w:val="8A9C13E8"/>
    <w:lvl w:ilvl="0" w:tplc="DA5EF9E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C201F"/>
    <w:multiLevelType w:val="hybridMultilevel"/>
    <w:tmpl w:val="909A0EF6"/>
    <w:lvl w:ilvl="0" w:tplc="7564EDC0">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1183C"/>
    <w:multiLevelType w:val="hybridMultilevel"/>
    <w:tmpl w:val="B7BC5FE4"/>
    <w:lvl w:ilvl="0" w:tplc="288E371E">
      <w:start w:val="1"/>
      <w:numFmt w:val="bullet"/>
      <w:lvlText w:val="•"/>
      <w:lvlJc w:val="left"/>
      <w:pPr>
        <w:tabs>
          <w:tab w:val="num" w:pos="720"/>
        </w:tabs>
        <w:ind w:left="720" w:hanging="360"/>
      </w:pPr>
      <w:rPr>
        <w:rFonts w:ascii="Arial" w:hAnsi="Arial" w:hint="default"/>
      </w:rPr>
    </w:lvl>
    <w:lvl w:ilvl="1" w:tplc="CB7603B0" w:tentative="1">
      <w:start w:val="1"/>
      <w:numFmt w:val="bullet"/>
      <w:lvlText w:val="•"/>
      <w:lvlJc w:val="left"/>
      <w:pPr>
        <w:tabs>
          <w:tab w:val="num" w:pos="1440"/>
        </w:tabs>
        <w:ind w:left="1440" w:hanging="360"/>
      </w:pPr>
      <w:rPr>
        <w:rFonts w:ascii="Arial" w:hAnsi="Arial" w:hint="default"/>
      </w:rPr>
    </w:lvl>
    <w:lvl w:ilvl="2" w:tplc="C6D0C3C2" w:tentative="1">
      <w:start w:val="1"/>
      <w:numFmt w:val="bullet"/>
      <w:lvlText w:val="•"/>
      <w:lvlJc w:val="left"/>
      <w:pPr>
        <w:tabs>
          <w:tab w:val="num" w:pos="2160"/>
        </w:tabs>
        <w:ind w:left="2160" w:hanging="360"/>
      </w:pPr>
      <w:rPr>
        <w:rFonts w:ascii="Arial" w:hAnsi="Arial" w:hint="default"/>
      </w:rPr>
    </w:lvl>
    <w:lvl w:ilvl="3" w:tplc="8E40B3B8" w:tentative="1">
      <w:start w:val="1"/>
      <w:numFmt w:val="bullet"/>
      <w:lvlText w:val="•"/>
      <w:lvlJc w:val="left"/>
      <w:pPr>
        <w:tabs>
          <w:tab w:val="num" w:pos="2880"/>
        </w:tabs>
        <w:ind w:left="2880" w:hanging="360"/>
      </w:pPr>
      <w:rPr>
        <w:rFonts w:ascii="Arial" w:hAnsi="Arial" w:hint="default"/>
      </w:rPr>
    </w:lvl>
    <w:lvl w:ilvl="4" w:tplc="2E52901A" w:tentative="1">
      <w:start w:val="1"/>
      <w:numFmt w:val="bullet"/>
      <w:lvlText w:val="•"/>
      <w:lvlJc w:val="left"/>
      <w:pPr>
        <w:tabs>
          <w:tab w:val="num" w:pos="3600"/>
        </w:tabs>
        <w:ind w:left="3600" w:hanging="360"/>
      </w:pPr>
      <w:rPr>
        <w:rFonts w:ascii="Arial" w:hAnsi="Arial" w:hint="default"/>
      </w:rPr>
    </w:lvl>
    <w:lvl w:ilvl="5" w:tplc="C674E620" w:tentative="1">
      <w:start w:val="1"/>
      <w:numFmt w:val="bullet"/>
      <w:lvlText w:val="•"/>
      <w:lvlJc w:val="left"/>
      <w:pPr>
        <w:tabs>
          <w:tab w:val="num" w:pos="4320"/>
        </w:tabs>
        <w:ind w:left="4320" w:hanging="360"/>
      </w:pPr>
      <w:rPr>
        <w:rFonts w:ascii="Arial" w:hAnsi="Arial" w:hint="default"/>
      </w:rPr>
    </w:lvl>
    <w:lvl w:ilvl="6" w:tplc="E7E6E482" w:tentative="1">
      <w:start w:val="1"/>
      <w:numFmt w:val="bullet"/>
      <w:lvlText w:val="•"/>
      <w:lvlJc w:val="left"/>
      <w:pPr>
        <w:tabs>
          <w:tab w:val="num" w:pos="5040"/>
        </w:tabs>
        <w:ind w:left="5040" w:hanging="360"/>
      </w:pPr>
      <w:rPr>
        <w:rFonts w:ascii="Arial" w:hAnsi="Arial" w:hint="default"/>
      </w:rPr>
    </w:lvl>
    <w:lvl w:ilvl="7" w:tplc="F47A8FAE" w:tentative="1">
      <w:start w:val="1"/>
      <w:numFmt w:val="bullet"/>
      <w:lvlText w:val="•"/>
      <w:lvlJc w:val="left"/>
      <w:pPr>
        <w:tabs>
          <w:tab w:val="num" w:pos="5760"/>
        </w:tabs>
        <w:ind w:left="5760" w:hanging="360"/>
      </w:pPr>
      <w:rPr>
        <w:rFonts w:ascii="Arial" w:hAnsi="Arial" w:hint="default"/>
      </w:rPr>
    </w:lvl>
    <w:lvl w:ilvl="8" w:tplc="82E299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23C73B0"/>
    <w:multiLevelType w:val="hybridMultilevel"/>
    <w:tmpl w:val="B76E8D32"/>
    <w:lvl w:ilvl="0" w:tplc="C6D0CE66">
      <w:numFmt w:val="bullet"/>
      <w:lvlText w:val="-"/>
      <w:lvlJc w:val="left"/>
      <w:pPr>
        <w:ind w:left="720" w:hanging="360"/>
      </w:pPr>
      <w:rPr>
        <w:rFonts w:ascii="MyriadPro-Regular" w:eastAsiaTheme="minorHAnsi" w:hAnsi="MyriadPro-Regular" w:cs="MyriadPro-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EA63D7"/>
    <w:multiLevelType w:val="hybridMultilevel"/>
    <w:tmpl w:val="1542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E16BD"/>
    <w:multiLevelType w:val="hybridMultilevel"/>
    <w:tmpl w:val="747C182E"/>
    <w:lvl w:ilvl="0" w:tplc="75B8AA6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0433E7"/>
    <w:multiLevelType w:val="hybridMultilevel"/>
    <w:tmpl w:val="B76A05E4"/>
    <w:lvl w:ilvl="0" w:tplc="B6B0295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B2984"/>
    <w:multiLevelType w:val="hybridMultilevel"/>
    <w:tmpl w:val="73B42F4C"/>
    <w:lvl w:ilvl="0" w:tplc="D09A277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C4001CC"/>
    <w:multiLevelType w:val="hybridMultilevel"/>
    <w:tmpl w:val="508C99F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7EF9728C"/>
    <w:multiLevelType w:val="hybridMultilevel"/>
    <w:tmpl w:val="B27007DA"/>
    <w:lvl w:ilvl="0" w:tplc="D22446D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24"/>
  </w:num>
  <w:num w:numId="4">
    <w:abstractNumId w:val="1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8"/>
  </w:num>
  <w:num w:numId="8">
    <w:abstractNumId w:val="1"/>
  </w:num>
  <w:num w:numId="9">
    <w:abstractNumId w:val="2"/>
  </w:num>
  <w:num w:numId="10">
    <w:abstractNumId w:val="17"/>
  </w:num>
  <w:num w:numId="11">
    <w:abstractNumId w:val="14"/>
  </w:num>
  <w:num w:numId="12">
    <w:abstractNumId w:val="6"/>
  </w:num>
  <w:num w:numId="13">
    <w:abstractNumId w:val="26"/>
  </w:num>
  <w:num w:numId="14">
    <w:abstractNumId w:val="0"/>
  </w:num>
  <w:num w:numId="15">
    <w:abstractNumId w:val="1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0"/>
  </w:num>
  <w:num w:numId="22">
    <w:abstractNumId w:val="13"/>
  </w:num>
  <w:num w:numId="23">
    <w:abstractNumId w:val="4"/>
  </w:num>
  <w:num w:numId="24">
    <w:abstractNumId w:val="1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0"/>
  </w:num>
  <w:num w:numId="28">
    <w:abstractNumId w:val="3"/>
  </w:num>
  <w:num w:numId="29">
    <w:abstractNumId w:val="18"/>
  </w:num>
  <w:num w:numId="30">
    <w:abstractNumId w:val="30"/>
  </w:num>
  <w:num w:numId="31">
    <w:abstractNumId w:val="12"/>
  </w:num>
  <w:num w:numId="32">
    <w:abstractNumId w:val="8"/>
  </w:num>
  <w:num w:numId="33">
    <w:abstractNumId w:val="0"/>
  </w:num>
  <w:num w:numId="34">
    <w:abstractNumId w:val="22"/>
  </w:num>
  <w:num w:numId="35">
    <w:abstractNumId w:val="21"/>
  </w:num>
  <w:num w:numId="36">
    <w:abstractNumId w:val="15"/>
  </w:num>
  <w:num w:numId="37">
    <w:abstractNumId w:val="27"/>
  </w:num>
  <w:num w:numId="38">
    <w:abstractNumId w:val="24"/>
  </w:num>
  <w:num w:numId="39">
    <w:abstractNumId w:val="9"/>
  </w:num>
  <w:num w:numId="40">
    <w:abstractNumId w:val="29"/>
  </w:num>
  <w:num w:numId="41">
    <w:abstractNumId w:val="23"/>
  </w:num>
  <w:num w:numId="4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3F"/>
    <w:rsid w:val="00033A48"/>
    <w:rsid w:val="00035F1E"/>
    <w:rsid w:val="00040278"/>
    <w:rsid w:val="00041B97"/>
    <w:rsid w:val="000733F0"/>
    <w:rsid w:val="000750F8"/>
    <w:rsid w:val="000A1945"/>
    <w:rsid w:val="000A362C"/>
    <w:rsid w:val="000A66A0"/>
    <w:rsid w:val="000A7132"/>
    <w:rsid w:val="000B38B0"/>
    <w:rsid w:val="000B5759"/>
    <w:rsid w:val="000B5A03"/>
    <w:rsid w:val="000D4C87"/>
    <w:rsid w:val="000E5F56"/>
    <w:rsid w:val="000F1700"/>
    <w:rsid w:val="000F3C6A"/>
    <w:rsid w:val="000F3ED6"/>
    <w:rsid w:val="000F7B45"/>
    <w:rsid w:val="0010436F"/>
    <w:rsid w:val="00106C18"/>
    <w:rsid w:val="001254C2"/>
    <w:rsid w:val="001261B7"/>
    <w:rsid w:val="00136047"/>
    <w:rsid w:val="00140E7B"/>
    <w:rsid w:val="00144CB6"/>
    <w:rsid w:val="00145ECF"/>
    <w:rsid w:val="00146519"/>
    <w:rsid w:val="001538BF"/>
    <w:rsid w:val="00161B6E"/>
    <w:rsid w:val="001769A7"/>
    <w:rsid w:val="001771BF"/>
    <w:rsid w:val="00185FE4"/>
    <w:rsid w:val="001A0EEC"/>
    <w:rsid w:val="001A267B"/>
    <w:rsid w:val="001B4D74"/>
    <w:rsid w:val="001C078A"/>
    <w:rsid w:val="001D0D2F"/>
    <w:rsid w:val="001D7B0D"/>
    <w:rsid w:val="001E1153"/>
    <w:rsid w:val="001F09A2"/>
    <w:rsid w:val="001F50D4"/>
    <w:rsid w:val="001F51B0"/>
    <w:rsid w:val="00201811"/>
    <w:rsid w:val="00207288"/>
    <w:rsid w:val="0021357B"/>
    <w:rsid w:val="0021679F"/>
    <w:rsid w:val="002249A9"/>
    <w:rsid w:val="00235FBB"/>
    <w:rsid w:val="002361E3"/>
    <w:rsid w:val="00241522"/>
    <w:rsid w:val="002422D0"/>
    <w:rsid w:val="002449C6"/>
    <w:rsid w:val="00247252"/>
    <w:rsid w:val="00252B7A"/>
    <w:rsid w:val="0025301D"/>
    <w:rsid w:val="00253A85"/>
    <w:rsid w:val="002549E6"/>
    <w:rsid w:val="00255ABB"/>
    <w:rsid w:val="00273115"/>
    <w:rsid w:val="00280959"/>
    <w:rsid w:val="00284EB1"/>
    <w:rsid w:val="002874BB"/>
    <w:rsid w:val="002940D1"/>
    <w:rsid w:val="002A1092"/>
    <w:rsid w:val="002A5359"/>
    <w:rsid w:val="002A66DE"/>
    <w:rsid w:val="002B1031"/>
    <w:rsid w:val="002C08B2"/>
    <w:rsid w:val="002C4493"/>
    <w:rsid w:val="002D3E7D"/>
    <w:rsid w:val="002D4FB9"/>
    <w:rsid w:val="002D63EB"/>
    <w:rsid w:val="002E3D19"/>
    <w:rsid w:val="002E4B21"/>
    <w:rsid w:val="002F5FBA"/>
    <w:rsid w:val="0030161B"/>
    <w:rsid w:val="00303750"/>
    <w:rsid w:val="00307775"/>
    <w:rsid w:val="003116B8"/>
    <w:rsid w:val="00323BAF"/>
    <w:rsid w:val="00341BFF"/>
    <w:rsid w:val="0034276A"/>
    <w:rsid w:val="00356C8E"/>
    <w:rsid w:val="00364D86"/>
    <w:rsid w:val="003713E3"/>
    <w:rsid w:val="0038341F"/>
    <w:rsid w:val="00394A1B"/>
    <w:rsid w:val="003A1271"/>
    <w:rsid w:val="003A53B4"/>
    <w:rsid w:val="003A560B"/>
    <w:rsid w:val="003A5B15"/>
    <w:rsid w:val="003A6EC0"/>
    <w:rsid w:val="003B447B"/>
    <w:rsid w:val="003C48FF"/>
    <w:rsid w:val="003D561C"/>
    <w:rsid w:val="003E3589"/>
    <w:rsid w:val="00411D9F"/>
    <w:rsid w:val="00415370"/>
    <w:rsid w:val="00421FA4"/>
    <w:rsid w:val="00444BA5"/>
    <w:rsid w:val="00452508"/>
    <w:rsid w:val="004558A2"/>
    <w:rsid w:val="0045727B"/>
    <w:rsid w:val="00457460"/>
    <w:rsid w:val="00460667"/>
    <w:rsid w:val="00461EF3"/>
    <w:rsid w:val="00464322"/>
    <w:rsid w:val="00473600"/>
    <w:rsid w:val="004866F1"/>
    <w:rsid w:val="00490B08"/>
    <w:rsid w:val="00495693"/>
    <w:rsid w:val="004A37BE"/>
    <w:rsid w:val="004B7F97"/>
    <w:rsid w:val="004C1EAD"/>
    <w:rsid w:val="004C336C"/>
    <w:rsid w:val="00500547"/>
    <w:rsid w:val="00500749"/>
    <w:rsid w:val="00502947"/>
    <w:rsid w:val="00502BAD"/>
    <w:rsid w:val="00511DCF"/>
    <w:rsid w:val="0052333B"/>
    <w:rsid w:val="00525350"/>
    <w:rsid w:val="0052769A"/>
    <w:rsid w:val="00536853"/>
    <w:rsid w:val="00543DAF"/>
    <w:rsid w:val="00545A54"/>
    <w:rsid w:val="00550F70"/>
    <w:rsid w:val="0055220F"/>
    <w:rsid w:val="005532D0"/>
    <w:rsid w:val="005558CD"/>
    <w:rsid w:val="00555B47"/>
    <w:rsid w:val="00564A4C"/>
    <w:rsid w:val="00584EFB"/>
    <w:rsid w:val="0059068F"/>
    <w:rsid w:val="00590B46"/>
    <w:rsid w:val="00592B9C"/>
    <w:rsid w:val="00595950"/>
    <w:rsid w:val="00595D04"/>
    <w:rsid w:val="00597A4E"/>
    <w:rsid w:val="005A1BBF"/>
    <w:rsid w:val="005A626F"/>
    <w:rsid w:val="005B1915"/>
    <w:rsid w:val="005B3A8C"/>
    <w:rsid w:val="005C1972"/>
    <w:rsid w:val="005C2DCD"/>
    <w:rsid w:val="005C77B0"/>
    <w:rsid w:val="005D0D2D"/>
    <w:rsid w:val="005D32D9"/>
    <w:rsid w:val="005E6779"/>
    <w:rsid w:val="005F38E9"/>
    <w:rsid w:val="00603F5D"/>
    <w:rsid w:val="00612A92"/>
    <w:rsid w:val="0062536C"/>
    <w:rsid w:val="006323A3"/>
    <w:rsid w:val="0063276E"/>
    <w:rsid w:val="006358DE"/>
    <w:rsid w:val="00635B77"/>
    <w:rsid w:val="00637087"/>
    <w:rsid w:val="006400B1"/>
    <w:rsid w:val="00642498"/>
    <w:rsid w:val="006450F5"/>
    <w:rsid w:val="0064779A"/>
    <w:rsid w:val="0064779B"/>
    <w:rsid w:val="00650425"/>
    <w:rsid w:val="00654001"/>
    <w:rsid w:val="00654D10"/>
    <w:rsid w:val="00655E48"/>
    <w:rsid w:val="006611F6"/>
    <w:rsid w:val="00663DFE"/>
    <w:rsid w:val="00674FC2"/>
    <w:rsid w:val="00675005"/>
    <w:rsid w:val="006823BD"/>
    <w:rsid w:val="006827EA"/>
    <w:rsid w:val="006829C6"/>
    <w:rsid w:val="006C30B6"/>
    <w:rsid w:val="006D277D"/>
    <w:rsid w:val="006D34FC"/>
    <w:rsid w:val="006E35DC"/>
    <w:rsid w:val="006F024E"/>
    <w:rsid w:val="006F1770"/>
    <w:rsid w:val="006F3AF0"/>
    <w:rsid w:val="006F71EE"/>
    <w:rsid w:val="006F7D84"/>
    <w:rsid w:val="00702B63"/>
    <w:rsid w:val="00714574"/>
    <w:rsid w:val="00717606"/>
    <w:rsid w:val="00722DDF"/>
    <w:rsid w:val="00726D8C"/>
    <w:rsid w:val="00732F37"/>
    <w:rsid w:val="00733957"/>
    <w:rsid w:val="00741C59"/>
    <w:rsid w:val="00741DAB"/>
    <w:rsid w:val="00746FC7"/>
    <w:rsid w:val="00750DA6"/>
    <w:rsid w:val="0075118A"/>
    <w:rsid w:val="007513D9"/>
    <w:rsid w:val="00751552"/>
    <w:rsid w:val="007523F4"/>
    <w:rsid w:val="00753388"/>
    <w:rsid w:val="0075501B"/>
    <w:rsid w:val="00761416"/>
    <w:rsid w:val="00763FD8"/>
    <w:rsid w:val="00764A27"/>
    <w:rsid w:val="00765174"/>
    <w:rsid w:val="007917C1"/>
    <w:rsid w:val="00796967"/>
    <w:rsid w:val="007A5FA6"/>
    <w:rsid w:val="007B1E4F"/>
    <w:rsid w:val="007B64B6"/>
    <w:rsid w:val="007C13A7"/>
    <w:rsid w:val="007C6E01"/>
    <w:rsid w:val="007D2B5E"/>
    <w:rsid w:val="007E3D65"/>
    <w:rsid w:val="007E655F"/>
    <w:rsid w:val="007F13F7"/>
    <w:rsid w:val="007F1AAF"/>
    <w:rsid w:val="00804D21"/>
    <w:rsid w:val="00814B9B"/>
    <w:rsid w:val="008233BE"/>
    <w:rsid w:val="00827D63"/>
    <w:rsid w:val="0083513F"/>
    <w:rsid w:val="00837B7A"/>
    <w:rsid w:val="00843553"/>
    <w:rsid w:val="00843B88"/>
    <w:rsid w:val="00852D93"/>
    <w:rsid w:val="008606C9"/>
    <w:rsid w:val="00862521"/>
    <w:rsid w:val="00864DA4"/>
    <w:rsid w:val="0087691C"/>
    <w:rsid w:val="00882A10"/>
    <w:rsid w:val="008923BF"/>
    <w:rsid w:val="00892A68"/>
    <w:rsid w:val="00893592"/>
    <w:rsid w:val="00894973"/>
    <w:rsid w:val="008A24F8"/>
    <w:rsid w:val="008A5047"/>
    <w:rsid w:val="008A708E"/>
    <w:rsid w:val="008B30DE"/>
    <w:rsid w:val="008B401A"/>
    <w:rsid w:val="008D46D8"/>
    <w:rsid w:val="008E6C0E"/>
    <w:rsid w:val="008E6FC3"/>
    <w:rsid w:val="008F3608"/>
    <w:rsid w:val="008F45CF"/>
    <w:rsid w:val="00901E51"/>
    <w:rsid w:val="00903A79"/>
    <w:rsid w:val="0091074D"/>
    <w:rsid w:val="00934E92"/>
    <w:rsid w:val="0093717B"/>
    <w:rsid w:val="00940542"/>
    <w:rsid w:val="009417AE"/>
    <w:rsid w:val="00944F1B"/>
    <w:rsid w:val="009450CC"/>
    <w:rsid w:val="0094590D"/>
    <w:rsid w:val="00945F8C"/>
    <w:rsid w:val="00954383"/>
    <w:rsid w:val="0096198A"/>
    <w:rsid w:val="00962890"/>
    <w:rsid w:val="009661CA"/>
    <w:rsid w:val="00972C0A"/>
    <w:rsid w:val="00976EF2"/>
    <w:rsid w:val="0098025D"/>
    <w:rsid w:val="0098157D"/>
    <w:rsid w:val="009A50A9"/>
    <w:rsid w:val="009A67C4"/>
    <w:rsid w:val="009B295D"/>
    <w:rsid w:val="009B5169"/>
    <w:rsid w:val="009C0EDD"/>
    <w:rsid w:val="009C1A93"/>
    <w:rsid w:val="009C4C86"/>
    <w:rsid w:val="009D0F92"/>
    <w:rsid w:val="009D7F8C"/>
    <w:rsid w:val="009F0269"/>
    <w:rsid w:val="009F6484"/>
    <w:rsid w:val="00A03CF4"/>
    <w:rsid w:val="00A04B97"/>
    <w:rsid w:val="00A07EC8"/>
    <w:rsid w:val="00A2203D"/>
    <w:rsid w:val="00A43B7C"/>
    <w:rsid w:val="00A55444"/>
    <w:rsid w:val="00A56DC0"/>
    <w:rsid w:val="00A64651"/>
    <w:rsid w:val="00A700AB"/>
    <w:rsid w:val="00A75C77"/>
    <w:rsid w:val="00A85CA5"/>
    <w:rsid w:val="00A86A63"/>
    <w:rsid w:val="00A871F8"/>
    <w:rsid w:val="00A877E1"/>
    <w:rsid w:val="00A964DA"/>
    <w:rsid w:val="00A96A7A"/>
    <w:rsid w:val="00A97B44"/>
    <w:rsid w:val="00AA3DE1"/>
    <w:rsid w:val="00AB243F"/>
    <w:rsid w:val="00AB3890"/>
    <w:rsid w:val="00AC5103"/>
    <w:rsid w:val="00AE0C08"/>
    <w:rsid w:val="00AE56C2"/>
    <w:rsid w:val="00AE576A"/>
    <w:rsid w:val="00AE62CC"/>
    <w:rsid w:val="00AF71B2"/>
    <w:rsid w:val="00AF7390"/>
    <w:rsid w:val="00AF7781"/>
    <w:rsid w:val="00B0296B"/>
    <w:rsid w:val="00B03307"/>
    <w:rsid w:val="00B06A30"/>
    <w:rsid w:val="00B07709"/>
    <w:rsid w:val="00B103D6"/>
    <w:rsid w:val="00B222A6"/>
    <w:rsid w:val="00B22DDA"/>
    <w:rsid w:val="00B301AF"/>
    <w:rsid w:val="00B30EAE"/>
    <w:rsid w:val="00B35386"/>
    <w:rsid w:val="00B41DE3"/>
    <w:rsid w:val="00B44288"/>
    <w:rsid w:val="00B50308"/>
    <w:rsid w:val="00B53E46"/>
    <w:rsid w:val="00B757A7"/>
    <w:rsid w:val="00B77FA8"/>
    <w:rsid w:val="00B836DF"/>
    <w:rsid w:val="00B860FD"/>
    <w:rsid w:val="00B92D6F"/>
    <w:rsid w:val="00B97C10"/>
    <w:rsid w:val="00BB6414"/>
    <w:rsid w:val="00BB72E7"/>
    <w:rsid w:val="00BC026A"/>
    <w:rsid w:val="00BC0FE4"/>
    <w:rsid w:val="00BD4E80"/>
    <w:rsid w:val="00BD4F6D"/>
    <w:rsid w:val="00BE2D7E"/>
    <w:rsid w:val="00BF1AB3"/>
    <w:rsid w:val="00BF43A5"/>
    <w:rsid w:val="00C0356A"/>
    <w:rsid w:val="00C079CF"/>
    <w:rsid w:val="00C13037"/>
    <w:rsid w:val="00C135C2"/>
    <w:rsid w:val="00C164CB"/>
    <w:rsid w:val="00C259DA"/>
    <w:rsid w:val="00C332E0"/>
    <w:rsid w:val="00C33EDB"/>
    <w:rsid w:val="00C36C71"/>
    <w:rsid w:val="00C370F9"/>
    <w:rsid w:val="00C371EC"/>
    <w:rsid w:val="00C37479"/>
    <w:rsid w:val="00C42195"/>
    <w:rsid w:val="00C50B6C"/>
    <w:rsid w:val="00C5283E"/>
    <w:rsid w:val="00C658EF"/>
    <w:rsid w:val="00C669E4"/>
    <w:rsid w:val="00C74BDE"/>
    <w:rsid w:val="00C81E41"/>
    <w:rsid w:val="00C85500"/>
    <w:rsid w:val="00C9149F"/>
    <w:rsid w:val="00CA60DC"/>
    <w:rsid w:val="00CA7A98"/>
    <w:rsid w:val="00CB21B0"/>
    <w:rsid w:val="00CB4023"/>
    <w:rsid w:val="00CB4C44"/>
    <w:rsid w:val="00CB4DED"/>
    <w:rsid w:val="00CB6527"/>
    <w:rsid w:val="00CC4449"/>
    <w:rsid w:val="00CC468E"/>
    <w:rsid w:val="00CC5EC1"/>
    <w:rsid w:val="00CC656E"/>
    <w:rsid w:val="00CD55AA"/>
    <w:rsid w:val="00CE05BD"/>
    <w:rsid w:val="00CE31DF"/>
    <w:rsid w:val="00CF23E4"/>
    <w:rsid w:val="00CF7CEA"/>
    <w:rsid w:val="00D02138"/>
    <w:rsid w:val="00D05542"/>
    <w:rsid w:val="00D134CE"/>
    <w:rsid w:val="00D253A5"/>
    <w:rsid w:val="00D333A9"/>
    <w:rsid w:val="00D35B4B"/>
    <w:rsid w:val="00D41BB8"/>
    <w:rsid w:val="00D460CD"/>
    <w:rsid w:val="00D55155"/>
    <w:rsid w:val="00D70458"/>
    <w:rsid w:val="00D71C3A"/>
    <w:rsid w:val="00D733D5"/>
    <w:rsid w:val="00D73A59"/>
    <w:rsid w:val="00D90878"/>
    <w:rsid w:val="00DA5B42"/>
    <w:rsid w:val="00DC1279"/>
    <w:rsid w:val="00DD4681"/>
    <w:rsid w:val="00DD49A4"/>
    <w:rsid w:val="00DD7FDA"/>
    <w:rsid w:val="00DE749B"/>
    <w:rsid w:val="00DF0FE4"/>
    <w:rsid w:val="00DF4E48"/>
    <w:rsid w:val="00DF5F04"/>
    <w:rsid w:val="00E01019"/>
    <w:rsid w:val="00E03DD1"/>
    <w:rsid w:val="00E06A49"/>
    <w:rsid w:val="00E06E43"/>
    <w:rsid w:val="00E23C08"/>
    <w:rsid w:val="00E25175"/>
    <w:rsid w:val="00E25C50"/>
    <w:rsid w:val="00E26045"/>
    <w:rsid w:val="00E34C16"/>
    <w:rsid w:val="00E46C2A"/>
    <w:rsid w:val="00E46CA9"/>
    <w:rsid w:val="00E5044C"/>
    <w:rsid w:val="00E507AA"/>
    <w:rsid w:val="00E55582"/>
    <w:rsid w:val="00E6373A"/>
    <w:rsid w:val="00E63922"/>
    <w:rsid w:val="00E656A8"/>
    <w:rsid w:val="00E661ED"/>
    <w:rsid w:val="00E73703"/>
    <w:rsid w:val="00E740B4"/>
    <w:rsid w:val="00E75DCB"/>
    <w:rsid w:val="00E818B4"/>
    <w:rsid w:val="00E81AC8"/>
    <w:rsid w:val="00E90311"/>
    <w:rsid w:val="00E966BC"/>
    <w:rsid w:val="00EA1CFC"/>
    <w:rsid w:val="00EA5401"/>
    <w:rsid w:val="00EB2DAA"/>
    <w:rsid w:val="00EC0240"/>
    <w:rsid w:val="00EC2172"/>
    <w:rsid w:val="00EC438E"/>
    <w:rsid w:val="00EC6331"/>
    <w:rsid w:val="00EC756C"/>
    <w:rsid w:val="00ED346B"/>
    <w:rsid w:val="00ED4390"/>
    <w:rsid w:val="00ED50B8"/>
    <w:rsid w:val="00EE033E"/>
    <w:rsid w:val="00EE299C"/>
    <w:rsid w:val="00EF7D6D"/>
    <w:rsid w:val="00F0519F"/>
    <w:rsid w:val="00F07DA1"/>
    <w:rsid w:val="00F155E1"/>
    <w:rsid w:val="00F1672C"/>
    <w:rsid w:val="00F22F80"/>
    <w:rsid w:val="00F2339C"/>
    <w:rsid w:val="00F2449B"/>
    <w:rsid w:val="00F34867"/>
    <w:rsid w:val="00F40D3F"/>
    <w:rsid w:val="00F45D36"/>
    <w:rsid w:val="00F5280A"/>
    <w:rsid w:val="00F567E2"/>
    <w:rsid w:val="00F6241C"/>
    <w:rsid w:val="00F6327D"/>
    <w:rsid w:val="00F653FA"/>
    <w:rsid w:val="00F723AB"/>
    <w:rsid w:val="00F768DF"/>
    <w:rsid w:val="00F77A30"/>
    <w:rsid w:val="00F8484E"/>
    <w:rsid w:val="00F87486"/>
    <w:rsid w:val="00F91900"/>
    <w:rsid w:val="00F97649"/>
    <w:rsid w:val="00FA7A97"/>
    <w:rsid w:val="00FA7C90"/>
    <w:rsid w:val="00FB0519"/>
    <w:rsid w:val="00FD0D1A"/>
    <w:rsid w:val="00FD666B"/>
    <w:rsid w:val="00FD7BF5"/>
    <w:rsid w:val="00FE196E"/>
    <w:rsid w:val="00FE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C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B77"/>
    <w:pPr>
      <w:spacing w:after="0" w:line="240" w:lineRule="auto"/>
      <w:jc w:val="both"/>
    </w:pPr>
    <w:rPr>
      <w:rFonts w:ascii="Arial" w:hAnsi="Arial"/>
    </w:rPr>
  </w:style>
  <w:style w:type="paragraph" w:styleId="Titre1">
    <w:name w:val="heading 1"/>
    <w:basedOn w:val="Normal"/>
    <w:next w:val="Normal"/>
    <w:link w:val="Titre1Car"/>
    <w:uiPriority w:val="9"/>
    <w:qFormat/>
    <w:rsid w:val="00CA7A98"/>
    <w:pPr>
      <w:keepNext/>
      <w:keepLines/>
      <w:numPr>
        <w:numId w:val="2"/>
      </w:numPr>
      <w:spacing w:after="240"/>
      <w:outlineLvl w:val="0"/>
    </w:pPr>
    <w:rPr>
      <w:rFonts w:eastAsiaTheme="majorEastAsia" w:cstheme="majorBidi"/>
      <w:b/>
      <w:bCs/>
      <w:caps/>
      <w:szCs w:val="28"/>
    </w:rPr>
  </w:style>
  <w:style w:type="paragraph" w:styleId="Titre2">
    <w:name w:val="heading 2"/>
    <w:basedOn w:val="Normal"/>
    <w:next w:val="Normal"/>
    <w:link w:val="Titre2Car"/>
    <w:uiPriority w:val="9"/>
    <w:unhideWhenUsed/>
    <w:qFormat/>
    <w:rsid w:val="00CA7A98"/>
    <w:pPr>
      <w:keepNext/>
      <w:keepLines/>
      <w:numPr>
        <w:ilvl w:val="1"/>
        <w:numId w:val="2"/>
      </w:numPr>
      <w:spacing w:after="240"/>
      <w:outlineLvl w:val="1"/>
    </w:pPr>
    <w:rPr>
      <w:rFonts w:eastAsiaTheme="majorEastAsia" w:cstheme="majorBidi"/>
      <w:b/>
      <w:bCs/>
      <w:szCs w:val="26"/>
    </w:rPr>
  </w:style>
  <w:style w:type="paragraph" w:styleId="Titre3">
    <w:name w:val="heading 3"/>
    <w:basedOn w:val="Normal"/>
    <w:next w:val="Normal"/>
    <w:link w:val="Titre3Car"/>
    <w:uiPriority w:val="9"/>
    <w:unhideWhenUsed/>
    <w:qFormat/>
    <w:rsid w:val="00CA7A98"/>
    <w:pPr>
      <w:keepNext/>
      <w:keepLines/>
      <w:numPr>
        <w:ilvl w:val="2"/>
        <w:numId w:val="2"/>
      </w:numPr>
      <w:spacing w:after="240"/>
      <w:outlineLvl w:val="2"/>
    </w:pPr>
    <w:rPr>
      <w:rFonts w:eastAsiaTheme="majorEastAsia" w:cstheme="majorBidi"/>
      <w:bCs/>
    </w:rPr>
  </w:style>
  <w:style w:type="paragraph" w:styleId="Titre4">
    <w:name w:val="heading 4"/>
    <w:basedOn w:val="Normal"/>
    <w:next w:val="Normal"/>
    <w:link w:val="Titre4Car"/>
    <w:uiPriority w:val="9"/>
    <w:unhideWhenUsed/>
    <w:qFormat/>
    <w:rsid w:val="00CA7A98"/>
    <w:pPr>
      <w:keepNext/>
      <w:keepLines/>
      <w:numPr>
        <w:ilvl w:val="3"/>
        <w:numId w:val="2"/>
      </w:numPr>
      <w:spacing w:after="240"/>
      <w:outlineLvl w:val="3"/>
    </w:pPr>
    <w:rPr>
      <w:rFonts w:eastAsiaTheme="majorEastAsia" w:cstheme="majorBidi"/>
      <w:bCs/>
      <w:i/>
      <w:iCs/>
      <w:lang w:val="fr-BE"/>
    </w:rPr>
  </w:style>
  <w:style w:type="paragraph" w:styleId="Titre5">
    <w:name w:val="heading 5"/>
    <w:basedOn w:val="Normal"/>
    <w:next w:val="Normal"/>
    <w:link w:val="Titre5Car"/>
    <w:uiPriority w:val="9"/>
    <w:unhideWhenUsed/>
    <w:qFormat/>
    <w:rsid w:val="001B4D74"/>
    <w:pPr>
      <w:spacing w:after="120"/>
      <w:outlineLvl w:val="4"/>
    </w:pPr>
    <w:rPr>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7A98"/>
    <w:rPr>
      <w:rFonts w:ascii="Arial" w:eastAsiaTheme="majorEastAsia" w:hAnsi="Arial" w:cstheme="majorBidi"/>
      <w:b/>
      <w:bCs/>
      <w:caps/>
      <w:szCs w:val="28"/>
    </w:rPr>
  </w:style>
  <w:style w:type="numbering" w:customStyle="1" w:styleId="HGRadvies">
    <w:name w:val="HGR advies"/>
    <w:uiPriority w:val="99"/>
    <w:rsid w:val="00CA7A98"/>
    <w:pPr>
      <w:numPr>
        <w:numId w:val="1"/>
      </w:numPr>
    </w:pPr>
  </w:style>
  <w:style w:type="paragraph" w:styleId="Paragraphedeliste">
    <w:name w:val="List Paragraph"/>
    <w:basedOn w:val="Normal"/>
    <w:uiPriority w:val="34"/>
    <w:qFormat/>
    <w:rsid w:val="00726D8C"/>
    <w:pPr>
      <w:ind w:left="720"/>
      <w:contextualSpacing/>
    </w:pPr>
  </w:style>
  <w:style w:type="character" w:customStyle="1" w:styleId="Titre5Car">
    <w:name w:val="Titre 5 Car"/>
    <w:basedOn w:val="Policepardfaut"/>
    <w:link w:val="Titre5"/>
    <w:uiPriority w:val="9"/>
    <w:rsid w:val="001B4D74"/>
    <w:rPr>
      <w:rFonts w:ascii="Arial" w:hAnsi="Arial"/>
      <w:u w:val="single"/>
      <w:lang w:val="fr-BE"/>
    </w:rPr>
  </w:style>
  <w:style w:type="character" w:customStyle="1" w:styleId="Titre2Car">
    <w:name w:val="Titre 2 Car"/>
    <w:basedOn w:val="Policepardfaut"/>
    <w:link w:val="Titre2"/>
    <w:uiPriority w:val="9"/>
    <w:rsid w:val="00CA7A98"/>
    <w:rPr>
      <w:rFonts w:ascii="Arial" w:eastAsiaTheme="majorEastAsia" w:hAnsi="Arial" w:cstheme="majorBidi"/>
      <w:b/>
      <w:bCs/>
      <w:szCs w:val="26"/>
    </w:rPr>
  </w:style>
  <w:style w:type="character" w:customStyle="1" w:styleId="Titre4Car">
    <w:name w:val="Titre 4 Car"/>
    <w:basedOn w:val="Policepardfaut"/>
    <w:link w:val="Titre4"/>
    <w:uiPriority w:val="9"/>
    <w:rsid w:val="00CA7A98"/>
    <w:rPr>
      <w:rFonts w:ascii="Arial" w:eastAsiaTheme="majorEastAsia" w:hAnsi="Arial" w:cstheme="majorBidi"/>
      <w:bCs/>
      <w:i/>
      <w:iCs/>
      <w:lang w:val="fr-BE"/>
    </w:rPr>
  </w:style>
  <w:style w:type="character" w:customStyle="1" w:styleId="Titre3Car">
    <w:name w:val="Titre 3 Car"/>
    <w:basedOn w:val="Policepardfaut"/>
    <w:link w:val="Titre3"/>
    <w:uiPriority w:val="9"/>
    <w:rsid w:val="00CA7A98"/>
    <w:rPr>
      <w:rFonts w:ascii="Arial" w:eastAsiaTheme="majorEastAsia" w:hAnsi="Arial" w:cstheme="majorBidi"/>
      <w:bCs/>
    </w:rPr>
  </w:style>
  <w:style w:type="character" w:styleId="Accentuationlgre">
    <w:name w:val="Subtle Emphasis"/>
    <w:basedOn w:val="Policepardfaut"/>
    <w:uiPriority w:val="19"/>
    <w:rsid w:val="0052769A"/>
    <w:rPr>
      <w:i/>
      <w:iCs/>
      <w:color w:val="808080" w:themeColor="text1" w:themeTint="7F"/>
    </w:rPr>
  </w:style>
  <w:style w:type="paragraph" w:styleId="Textedebulles">
    <w:name w:val="Balloon Text"/>
    <w:basedOn w:val="Normal"/>
    <w:link w:val="TextedebullesCar"/>
    <w:uiPriority w:val="99"/>
    <w:semiHidden/>
    <w:unhideWhenUsed/>
    <w:rsid w:val="002C4493"/>
    <w:rPr>
      <w:rFonts w:ascii="Tahoma" w:hAnsi="Tahoma" w:cs="Tahoma"/>
      <w:sz w:val="16"/>
      <w:szCs w:val="16"/>
    </w:rPr>
  </w:style>
  <w:style w:type="character" w:customStyle="1" w:styleId="TextedebullesCar">
    <w:name w:val="Texte de bulles Car"/>
    <w:basedOn w:val="Policepardfaut"/>
    <w:link w:val="Textedebulles"/>
    <w:uiPriority w:val="99"/>
    <w:semiHidden/>
    <w:rsid w:val="002C4493"/>
    <w:rPr>
      <w:rFonts w:ascii="Tahoma" w:hAnsi="Tahoma" w:cs="Tahoma"/>
      <w:sz w:val="16"/>
      <w:szCs w:val="16"/>
    </w:rPr>
  </w:style>
  <w:style w:type="character" w:styleId="Appelnotedebasdep">
    <w:name w:val="footnote reference"/>
    <w:basedOn w:val="Policepardfaut"/>
    <w:uiPriority w:val="99"/>
    <w:rsid w:val="002C4493"/>
    <w:rPr>
      <w:vertAlign w:val="superscript"/>
    </w:rPr>
  </w:style>
  <w:style w:type="paragraph" w:styleId="En-tte">
    <w:name w:val="header"/>
    <w:basedOn w:val="Normal"/>
    <w:link w:val="En-tteCar"/>
    <w:uiPriority w:val="99"/>
    <w:unhideWhenUsed/>
    <w:rsid w:val="002C4493"/>
    <w:pPr>
      <w:tabs>
        <w:tab w:val="center" w:pos="4680"/>
        <w:tab w:val="right" w:pos="9360"/>
      </w:tabs>
    </w:pPr>
  </w:style>
  <w:style w:type="character" w:customStyle="1" w:styleId="En-tteCar">
    <w:name w:val="En-tête Car"/>
    <w:basedOn w:val="Policepardfaut"/>
    <w:link w:val="En-tte"/>
    <w:uiPriority w:val="99"/>
    <w:rsid w:val="002C4493"/>
    <w:rPr>
      <w:rFonts w:ascii="Arial" w:hAnsi="Arial"/>
    </w:rPr>
  </w:style>
  <w:style w:type="paragraph" w:styleId="Pieddepage">
    <w:name w:val="footer"/>
    <w:basedOn w:val="Normal"/>
    <w:link w:val="PieddepageCar"/>
    <w:uiPriority w:val="99"/>
    <w:unhideWhenUsed/>
    <w:rsid w:val="002C4493"/>
    <w:pPr>
      <w:tabs>
        <w:tab w:val="center" w:pos="4680"/>
        <w:tab w:val="right" w:pos="9360"/>
      </w:tabs>
    </w:pPr>
  </w:style>
  <w:style w:type="character" w:customStyle="1" w:styleId="PieddepageCar">
    <w:name w:val="Pied de page Car"/>
    <w:basedOn w:val="Policepardfaut"/>
    <w:link w:val="Pieddepage"/>
    <w:uiPriority w:val="99"/>
    <w:rsid w:val="002C4493"/>
    <w:rPr>
      <w:rFonts w:ascii="Arial" w:hAnsi="Arial"/>
    </w:rPr>
  </w:style>
  <w:style w:type="paragraph" w:styleId="Lgende">
    <w:name w:val="caption"/>
    <w:basedOn w:val="Normal"/>
    <w:next w:val="Normal"/>
    <w:qFormat/>
    <w:rsid w:val="002C4493"/>
    <w:pPr>
      <w:framePr w:w="8771" w:h="720" w:hSpace="142" w:wrap="around" w:vAnchor="page" w:hAnchor="page" w:x="1702" w:y="15990" w:anchorLock="1"/>
      <w:jc w:val="left"/>
    </w:pPr>
    <w:rPr>
      <w:rFonts w:ascii="Verdana" w:eastAsia="Times New Roman" w:hAnsi="Verdana" w:cs="Times New Roman"/>
      <w:i/>
      <w:iCs/>
      <w:spacing w:val="10"/>
      <w:sz w:val="16"/>
      <w:szCs w:val="16"/>
      <w:lang w:val="fr-FR"/>
    </w:rPr>
  </w:style>
  <w:style w:type="character" w:styleId="Numrodepage">
    <w:name w:val="page number"/>
    <w:basedOn w:val="Policepardfaut"/>
    <w:rsid w:val="002C4493"/>
  </w:style>
  <w:style w:type="character" w:styleId="Lienhypertexte">
    <w:name w:val="Hyperlink"/>
    <w:uiPriority w:val="99"/>
    <w:rsid w:val="00B103D6"/>
    <w:rPr>
      <w:color w:val="0000FF"/>
      <w:u w:val="single"/>
    </w:rPr>
  </w:style>
  <w:style w:type="paragraph" w:styleId="Notedebasdepage">
    <w:name w:val="footnote text"/>
    <w:basedOn w:val="Normal"/>
    <w:link w:val="NotedebasdepageCar"/>
    <w:rsid w:val="00B103D6"/>
    <w:pPr>
      <w:jc w:val="left"/>
    </w:pPr>
    <w:rPr>
      <w:rFonts w:eastAsia="Times New Roman" w:cs="Times New Roman"/>
      <w:sz w:val="20"/>
      <w:szCs w:val="20"/>
      <w:lang w:val="fr-FR"/>
    </w:rPr>
  </w:style>
  <w:style w:type="character" w:customStyle="1" w:styleId="NotedebasdepageCar">
    <w:name w:val="Note de bas de page Car"/>
    <w:basedOn w:val="Policepardfaut"/>
    <w:link w:val="Notedebasdepage"/>
    <w:rsid w:val="00B103D6"/>
    <w:rPr>
      <w:rFonts w:ascii="Arial" w:eastAsia="Times New Roman" w:hAnsi="Arial" w:cs="Times New Roman"/>
      <w:sz w:val="20"/>
      <w:szCs w:val="20"/>
      <w:lang w:val="fr-FR"/>
    </w:rPr>
  </w:style>
  <w:style w:type="paragraph" w:customStyle="1" w:styleId="textbox">
    <w:name w:val="textbox"/>
    <w:basedOn w:val="Normal"/>
    <w:rsid w:val="00B07709"/>
    <w:pPr>
      <w:spacing w:before="100" w:beforeAutospacing="1" w:after="100" w:afterAutospacing="1"/>
      <w:jc w:val="left"/>
    </w:pPr>
    <w:rPr>
      <w:rFonts w:ascii="Times New Roman" w:eastAsia="Times New Roman" w:hAnsi="Times New Roman" w:cs="Times New Roman"/>
      <w:sz w:val="24"/>
      <w:szCs w:val="24"/>
    </w:rPr>
  </w:style>
  <w:style w:type="paragraph" w:customStyle="1" w:styleId="Default">
    <w:name w:val="Default"/>
    <w:rsid w:val="00B07709"/>
    <w:pPr>
      <w:autoSpaceDE w:val="0"/>
      <w:autoSpaceDN w:val="0"/>
      <w:adjustRightInd w:val="0"/>
      <w:spacing w:after="0" w:line="240" w:lineRule="auto"/>
    </w:pPr>
    <w:rPr>
      <w:rFonts w:ascii="Corbel" w:hAnsi="Corbel" w:cs="Corbel"/>
      <w:color w:val="000000"/>
      <w:sz w:val="24"/>
      <w:szCs w:val="24"/>
    </w:rPr>
  </w:style>
  <w:style w:type="table" w:styleId="Grilledutableau">
    <w:name w:val="Table Grid"/>
    <w:basedOn w:val="TableauNormal"/>
    <w:uiPriority w:val="39"/>
    <w:rsid w:val="00B07709"/>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A3DE1"/>
    <w:rPr>
      <w:sz w:val="16"/>
      <w:szCs w:val="16"/>
    </w:rPr>
  </w:style>
  <w:style w:type="paragraph" w:styleId="Commentaire">
    <w:name w:val="annotation text"/>
    <w:basedOn w:val="Normal"/>
    <w:link w:val="CommentaireCar"/>
    <w:uiPriority w:val="99"/>
    <w:unhideWhenUsed/>
    <w:rsid w:val="00AA3DE1"/>
    <w:rPr>
      <w:sz w:val="20"/>
      <w:szCs w:val="20"/>
    </w:rPr>
  </w:style>
  <w:style w:type="character" w:customStyle="1" w:styleId="CommentaireCar">
    <w:name w:val="Commentaire Car"/>
    <w:basedOn w:val="Policepardfaut"/>
    <w:link w:val="Commentaire"/>
    <w:uiPriority w:val="99"/>
    <w:rsid w:val="00AA3DE1"/>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AA3DE1"/>
    <w:rPr>
      <w:b/>
      <w:bCs/>
    </w:rPr>
  </w:style>
  <w:style w:type="character" w:customStyle="1" w:styleId="ObjetducommentaireCar">
    <w:name w:val="Objet du commentaire Car"/>
    <w:basedOn w:val="CommentaireCar"/>
    <w:link w:val="Objetducommentaire"/>
    <w:uiPriority w:val="99"/>
    <w:semiHidden/>
    <w:rsid w:val="00AA3DE1"/>
    <w:rPr>
      <w:rFonts w:ascii="Arial" w:hAnsi="Arial"/>
      <w:b/>
      <w:bCs/>
      <w:sz w:val="20"/>
      <w:szCs w:val="20"/>
    </w:rPr>
  </w:style>
  <w:style w:type="paragraph" w:customStyle="1" w:styleId="yiv4764875829msonormal">
    <w:name w:val="yiv4764875829msonormal"/>
    <w:basedOn w:val="Normal"/>
    <w:rsid w:val="00AA3DE1"/>
    <w:pPr>
      <w:spacing w:before="100" w:beforeAutospacing="1" w:after="100" w:afterAutospacing="1"/>
      <w:jc w:val="left"/>
    </w:pPr>
    <w:rPr>
      <w:rFonts w:ascii="Times New Roman" w:eastAsia="Times New Roman" w:hAnsi="Times New Roman" w:cs="Times New Roman"/>
      <w:sz w:val="24"/>
      <w:szCs w:val="24"/>
      <w:lang w:val="nl-BE" w:eastAsia="nl-BE"/>
    </w:rPr>
  </w:style>
  <w:style w:type="paragraph" w:styleId="Textebrut">
    <w:name w:val="Plain Text"/>
    <w:basedOn w:val="Normal"/>
    <w:link w:val="TextebrutCar"/>
    <w:uiPriority w:val="99"/>
    <w:unhideWhenUsed/>
    <w:rsid w:val="007E655F"/>
    <w:pPr>
      <w:jc w:val="left"/>
    </w:pPr>
    <w:rPr>
      <w:rFonts w:ascii="Calibri" w:hAnsi="Calibri" w:cs="Consolas"/>
      <w:szCs w:val="21"/>
    </w:rPr>
  </w:style>
  <w:style w:type="character" w:customStyle="1" w:styleId="TextebrutCar">
    <w:name w:val="Texte brut Car"/>
    <w:basedOn w:val="Policepardfaut"/>
    <w:link w:val="Textebrut"/>
    <w:uiPriority w:val="99"/>
    <w:rsid w:val="007E655F"/>
    <w:rPr>
      <w:rFonts w:ascii="Calibri" w:hAnsi="Calibri" w:cs="Consolas"/>
      <w:szCs w:val="21"/>
    </w:rPr>
  </w:style>
  <w:style w:type="paragraph" w:customStyle="1" w:styleId="Pa2">
    <w:name w:val="Pa2"/>
    <w:basedOn w:val="Default"/>
    <w:next w:val="Default"/>
    <w:uiPriority w:val="99"/>
    <w:rsid w:val="00C36C71"/>
    <w:pPr>
      <w:spacing w:line="181" w:lineRule="atLeast"/>
    </w:pPr>
    <w:rPr>
      <w:rFonts w:ascii="Open Sans" w:hAnsi="Open Sans" w:cstheme="minorBidi"/>
      <w:color w:val="auto"/>
    </w:rPr>
  </w:style>
  <w:style w:type="paragraph" w:customStyle="1" w:styleId="style1">
    <w:name w:val="style1"/>
    <w:basedOn w:val="Normal"/>
    <w:rsid w:val="00536853"/>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style11">
    <w:name w:val="style11"/>
    <w:basedOn w:val="Policepardfaut"/>
    <w:rsid w:val="00536853"/>
  </w:style>
  <w:style w:type="paragraph" w:customStyle="1" w:styleId="style6">
    <w:name w:val="style6"/>
    <w:basedOn w:val="Normal"/>
    <w:rsid w:val="00536853"/>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536853"/>
  </w:style>
  <w:style w:type="paragraph" w:styleId="NormalWeb">
    <w:name w:val="Normal (Web)"/>
    <w:basedOn w:val="Normal"/>
    <w:uiPriority w:val="99"/>
    <w:unhideWhenUsed/>
    <w:rsid w:val="004866F1"/>
    <w:pPr>
      <w:spacing w:before="100" w:beforeAutospacing="1" w:after="100" w:afterAutospacing="1"/>
      <w:jc w:val="left"/>
    </w:pPr>
    <w:rPr>
      <w:rFonts w:ascii="Times New Roman" w:eastAsia="Times New Roman" w:hAnsi="Times New Roman" w:cs="Times New Roman"/>
      <w:sz w:val="24"/>
      <w:szCs w:val="24"/>
      <w:lang w:val="fr-FR" w:eastAsia="fr-FR"/>
    </w:rPr>
  </w:style>
  <w:style w:type="paragraph" w:styleId="Rvision">
    <w:name w:val="Revision"/>
    <w:hidden/>
    <w:uiPriority w:val="99"/>
    <w:semiHidden/>
    <w:rsid w:val="004866F1"/>
    <w:pPr>
      <w:spacing w:after="0" w:line="240" w:lineRule="auto"/>
    </w:pPr>
    <w:rPr>
      <w:rFonts w:ascii="Arial" w:hAnsi="Arial"/>
    </w:rPr>
  </w:style>
  <w:style w:type="character" w:styleId="Accentuation">
    <w:name w:val="Emphasis"/>
    <w:basedOn w:val="Policepardfaut"/>
    <w:uiPriority w:val="20"/>
    <w:qFormat/>
    <w:rsid w:val="001771BF"/>
    <w:rPr>
      <w:i/>
      <w:iCs/>
    </w:rPr>
  </w:style>
  <w:style w:type="character" w:customStyle="1" w:styleId="highlight">
    <w:name w:val="highlight"/>
    <w:basedOn w:val="Policepardfaut"/>
    <w:rsid w:val="003A560B"/>
  </w:style>
  <w:style w:type="table" w:customStyle="1" w:styleId="Style10">
    <w:name w:val="Style1"/>
    <w:basedOn w:val="TableauNormal"/>
    <w:uiPriority w:val="99"/>
    <w:rsid w:val="002940D1"/>
    <w:pPr>
      <w:spacing w:after="0" w:line="240" w:lineRule="auto"/>
    </w:pPr>
    <w:rPr>
      <w:rFonts w:ascii="Arial" w:hAnsi="Arial"/>
    </w:rPr>
    <w:tblPr>
      <w:tblCellMar>
        <w:bottom w:w="57" w:type="dxa"/>
      </w:tblCellMar>
    </w:tblPr>
    <w:tblStylePr w:type="firstRow">
      <w:rPr>
        <w:rFonts w:ascii="Arial" w:hAnsi="Arial"/>
        <w:b/>
        <w:sz w:val="22"/>
      </w:rPr>
      <w:tblPr/>
      <w:tcPr>
        <w:tcBorders>
          <w:top w:val="nil"/>
          <w:left w:val="nil"/>
          <w:bottom w:val="nil"/>
          <w:right w:val="nil"/>
          <w:insideH w:val="nil"/>
          <w:insideV w:val="nil"/>
          <w:tl2br w:val="nil"/>
          <w:tr2bl w:val="nil"/>
        </w:tcBorders>
      </w:tcPr>
    </w:tblStylePr>
  </w:style>
  <w:style w:type="character" w:styleId="lev">
    <w:name w:val="Strong"/>
    <w:basedOn w:val="Policepardfaut"/>
    <w:uiPriority w:val="22"/>
    <w:qFormat/>
    <w:rsid w:val="00356C8E"/>
    <w:rPr>
      <w:b/>
      <w:bCs/>
    </w:rPr>
  </w:style>
  <w:style w:type="character" w:customStyle="1" w:styleId="A4">
    <w:name w:val="A4"/>
    <w:uiPriority w:val="99"/>
    <w:rsid w:val="00B35386"/>
    <w:rPr>
      <w:color w:val="000000"/>
    </w:rPr>
  </w:style>
  <w:style w:type="character" w:styleId="Lienhypertextesuivivisit">
    <w:name w:val="FollowedHyperlink"/>
    <w:basedOn w:val="Policepardfaut"/>
    <w:uiPriority w:val="99"/>
    <w:semiHidden/>
    <w:unhideWhenUsed/>
    <w:rsid w:val="005558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7856">
      <w:bodyDiv w:val="1"/>
      <w:marLeft w:val="0"/>
      <w:marRight w:val="0"/>
      <w:marTop w:val="0"/>
      <w:marBottom w:val="0"/>
      <w:divBdr>
        <w:top w:val="none" w:sz="0" w:space="0" w:color="auto"/>
        <w:left w:val="none" w:sz="0" w:space="0" w:color="auto"/>
        <w:bottom w:val="none" w:sz="0" w:space="0" w:color="auto"/>
        <w:right w:val="none" w:sz="0" w:space="0" w:color="auto"/>
      </w:divBdr>
    </w:div>
    <w:div w:id="49350504">
      <w:bodyDiv w:val="1"/>
      <w:marLeft w:val="0"/>
      <w:marRight w:val="0"/>
      <w:marTop w:val="0"/>
      <w:marBottom w:val="0"/>
      <w:divBdr>
        <w:top w:val="none" w:sz="0" w:space="0" w:color="auto"/>
        <w:left w:val="none" w:sz="0" w:space="0" w:color="auto"/>
        <w:bottom w:val="none" w:sz="0" w:space="0" w:color="auto"/>
        <w:right w:val="none" w:sz="0" w:space="0" w:color="auto"/>
      </w:divBdr>
      <w:divsChild>
        <w:div w:id="130169727">
          <w:marLeft w:val="0"/>
          <w:marRight w:val="0"/>
          <w:marTop w:val="0"/>
          <w:marBottom w:val="0"/>
          <w:divBdr>
            <w:top w:val="none" w:sz="0" w:space="0" w:color="auto"/>
            <w:left w:val="none" w:sz="0" w:space="0" w:color="auto"/>
            <w:bottom w:val="none" w:sz="0" w:space="0" w:color="auto"/>
            <w:right w:val="none" w:sz="0" w:space="0" w:color="auto"/>
          </w:divBdr>
          <w:divsChild>
            <w:div w:id="807016610">
              <w:marLeft w:val="0"/>
              <w:marRight w:val="0"/>
              <w:marTop w:val="0"/>
              <w:marBottom w:val="0"/>
              <w:divBdr>
                <w:top w:val="none" w:sz="0" w:space="0" w:color="auto"/>
                <w:left w:val="none" w:sz="0" w:space="0" w:color="auto"/>
                <w:bottom w:val="none" w:sz="0" w:space="0" w:color="auto"/>
                <w:right w:val="none" w:sz="0" w:space="0" w:color="auto"/>
              </w:divBdr>
              <w:divsChild>
                <w:div w:id="14497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714">
      <w:bodyDiv w:val="1"/>
      <w:marLeft w:val="0"/>
      <w:marRight w:val="0"/>
      <w:marTop w:val="0"/>
      <w:marBottom w:val="0"/>
      <w:divBdr>
        <w:top w:val="none" w:sz="0" w:space="0" w:color="auto"/>
        <w:left w:val="none" w:sz="0" w:space="0" w:color="auto"/>
        <w:bottom w:val="none" w:sz="0" w:space="0" w:color="auto"/>
        <w:right w:val="none" w:sz="0" w:space="0" w:color="auto"/>
      </w:divBdr>
    </w:div>
    <w:div w:id="260989424">
      <w:bodyDiv w:val="1"/>
      <w:marLeft w:val="0"/>
      <w:marRight w:val="0"/>
      <w:marTop w:val="0"/>
      <w:marBottom w:val="0"/>
      <w:divBdr>
        <w:top w:val="none" w:sz="0" w:space="0" w:color="auto"/>
        <w:left w:val="none" w:sz="0" w:space="0" w:color="auto"/>
        <w:bottom w:val="none" w:sz="0" w:space="0" w:color="auto"/>
        <w:right w:val="none" w:sz="0" w:space="0" w:color="auto"/>
      </w:divBdr>
      <w:divsChild>
        <w:div w:id="2060208154">
          <w:marLeft w:val="0"/>
          <w:marRight w:val="0"/>
          <w:marTop w:val="0"/>
          <w:marBottom w:val="450"/>
          <w:divBdr>
            <w:top w:val="none" w:sz="0" w:space="0" w:color="auto"/>
            <w:left w:val="none" w:sz="0" w:space="0" w:color="auto"/>
            <w:bottom w:val="single" w:sz="6" w:space="0" w:color="EEEEEE"/>
            <w:right w:val="none" w:sz="0" w:space="0" w:color="auto"/>
          </w:divBdr>
          <w:divsChild>
            <w:div w:id="645358345">
              <w:marLeft w:val="0"/>
              <w:marRight w:val="0"/>
              <w:marTop w:val="0"/>
              <w:marBottom w:val="0"/>
              <w:divBdr>
                <w:top w:val="none" w:sz="0" w:space="0" w:color="auto"/>
                <w:left w:val="none" w:sz="0" w:space="0" w:color="auto"/>
                <w:bottom w:val="none" w:sz="0" w:space="0" w:color="auto"/>
                <w:right w:val="none" w:sz="0" w:space="0" w:color="auto"/>
              </w:divBdr>
              <w:divsChild>
                <w:div w:id="1830556297">
                  <w:marLeft w:val="75"/>
                  <w:marRight w:val="75"/>
                  <w:marTop w:val="0"/>
                  <w:marBottom w:val="0"/>
                  <w:divBdr>
                    <w:top w:val="none" w:sz="0" w:space="0" w:color="auto"/>
                    <w:left w:val="none" w:sz="0" w:space="0" w:color="auto"/>
                    <w:bottom w:val="none" w:sz="0" w:space="0" w:color="auto"/>
                    <w:right w:val="none" w:sz="0" w:space="0" w:color="auto"/>
                  </w:divBdr>
                  <w:divsChild>
                    <w:div w:id="3872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0847">
          <w:marLeft w:val="2250"/>
          <w:marRight w:val="0"/>
          <w:marTop w:val="150"/>
          <w:marBottom w:val="0"/>
          <w:divBdr>
            <w:top w:val="none" w:sz="0" w:space="0" w:color="auto"/>
            <w:left w:val="none" w:sz="0" w:space="0" w:color="auto"/>
            <w:bottom w:val="none" w:sz="0" w:space="0" w:color="auto"/>
            <w:right w:val="none" w:sz="0" w:space="0" w:color="auto"/>
          </w:divBdr>
          <w:divsChild>
            <w:div w:id="580022577">
              <w:marLeft w:val="0"/>
              <w:marRight w:val="0"/>
              <w:marTop w:val="0"/>
              <w:marBottom w:val="0"/>
              <w:divBdr>
                <w:top w:val="none" w:sz="0" w:space="0" w:color="auto"/>
                <w:left w:val="none" w:sz="0" w:space="0" w:color="auto"/>
                <w:bottom w:val="none" w:sz="0" w:space="0" w:color="auto"/>
                <w:right w:val="none" w:sz="0" w:space="0" w:color="auto"/>
              </w:divBdr>
              <w:divsChild>
                <w:div w:id="63930903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76721551">
      <w:bodyDiv w:val="1"/>
      <w:marLeft w:val="0"/>
      <w:marRight w:val="0"/>
      <w:marTop w:val="0"/>
      <w:marBottom w:val="0"/>
      <w:divBdr>
        <w:top w:val="none" w:sz="0" w:space="0" w:color="auto"/>
        <w:left w:val="none" w:sz="0" w:space="0" w:color="auto"/>
        <w:bottom w:val="none" w:sz="0" w:space="0" w:color="auto"/>
        <w:right w:val="none" w:sz="0" w:space="0" w:color="auto"/>
      </w:divBdr>
    </w:div>
    <w:div w:id="329261742">
      <w:bodyDiv w:val="1"/>
      <w:marLeft w:val="0"/>
      <w:marRight w:val="0"/>
      <w:marTop w:val="0"/>
      <w:marBottom w:val="0"/>
      <w:divBdr>
        <w:top w:val="none" w:sz="0" w:space="0" w:color="auto"/>
        <w:left w:val="none" w:sz="0" w:space="0" w:color="auto"/>
        <w:bottom w:val="none" w:sz="0" w:space="0" w:color="auto"/>
        <w:right w:val="none" w:sz="0" w:space="0" w:color="auto"/>
      </w:divBdr>
    </w:div>
    <w:div w:id="340669120">
      <w:bodyDiv w:val="1"/>
      <w:marLeft w:val="0"/>
      <w:marRight w:val="0"/>
      <w:marTop w:val="0"/>
      <w:marBottom w:val="0"/>
      <w:divBdr>
        <w:top w:val="none" w:sz="0" w:space="0" w:color="auto"/>
        <w:left w:val="none" w:sz="0" w:space="0" w:color="auto"/>
        <w:bottom w:val="none" w:sz="0" w:space="0" w:color="auto"/>
        <w:right w:val="none" w:sz="0" w:space="0" w:color="auto"/>
      </w:divBdr>
    </w:div>
    <w:div w:id="341250785">
      <w:bodyDiv w:val="1"/>
      <w:marLeft w:val="0"/>
      <w:marRight w:val="0"/>
      <w:marTop w:val="0"/>
      <w:marBottom w:val="0"/>
      <w:divBdr>
        <w:top w:val="none" w:sz="0" w:space="0" w:color="auto"/>
        <w:left w:val="none" w:sz="0" w:space="0" w:color="auto"/>
        <w:bottom w:val="none" w:sz="0" w:space="0" w:color="auto"/>
        <w:right w:val="none" w:sz="0" w:space="0" w:color="auto"/>
      </w:divBdr>
      <w:divsChild>
        <w:div w:id="411585819">
          <w:marLeft w:val="0"/>
          <w:marRight w:val="0"/>
          <w:marTop w:val="0"/>
          <w:marBottom w:val="0"/>
          <w:divBdr>
            <w:top w:val="none" w:sz="0" w:space="0" w:color="auto"/>
            <w:left w:val="none" w:sz="0" w:space="0" w:color="auto"/>
            <w:bottom w:val="none" w:sz="0" w:space="0" w:color="auto"/>
            <w:right w:val="none" w:sz="0" w:space="0" w:color="auto"/>
          </w:divBdr>
          <w:divsChild>
            <w:div w:id="490562040">
              <w:marLeft w:val="0"/>
              <w:marRight w:val="0"/>
              <w:marTop w:val="0"/>
              <w:marBottom w:val="0"/>
              <w:divBdr>
                <w:top w:val="none" w:sz="0" w:space="0" w:color="auto"/>
                <w:left w:val="none" w:sz="0" w:space="0" w:color="auto"/>
                <w:bottom w:val="none" w:sz="0" w:space="0" w:color="auto"/>
                <w:right w:val="none" w:sz="0" w:space="0" w:color="auto"/>
              </w:divBdr>
              <w:divsChild>
                <w:div w:id="13132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2245">
      <w:bodyDiv w:val="1"/>
      <w:marLeft w:val="0"/>
      <w:marRight w:val="0"/>
      <w:marTop w:val="0"/>
      <w:marBottom w:val="0"/>
      <w:divBdr>
        <w:top w:val="none" w:sz="0" w:space="0" w:color="auto"/>
        <w:left w:val="none" w:sz="0" w:space="0" w:color="auto"/>
        <w:bottom w:val="none" w:sz="0" w:space="0" w:color="auto"/>
        <w:right w:val="none" w:sz="0" w:space="0" w:color="auto"/>
      </w:divBdr>
    </w:div>
    <w:div w:id="446236126">
      <w:bodyDiv w:val="1"/>
      <w:marLeft w:val="0"/>
      <w:marRight w:val="0"/>
      <w:marTop w:val="0"/>
      <w:marBottom w:val="0"/>
      <w:divBdr>
        <w:top w:val="none" w:sz="0" w:space="0" w:color="auto"/>
        <w:left w:val="none" w:sz="0" w:space="0" w:color="auto"/>
        <w:bottom w:val="none" w:sz="0" w:space="0" w:color="auto"/>
        <w:right w:val="none" w:sz="0" w:space="0" w:color="auto"/>
      </w:divBdr>
    </w:div>
    <w:div w:id="490098593">
      <w:bodyDiv w:val="1"/>
      <w:marLeft w:val="0"/>
      <w:marRight w:val="0"/>
      <w:marTop w:val="0"/>
      <w:marBottom w:val="0"/>
      <w:divBdr>
        <w:top w:val="none" w:sz="0" w:space="0" w:color="auto"/>
        <w:left w:val="none" w:sz="0" w:space="0" w:color="auto"/>
        <w:bottom w:val="none" w:sz="0" w:space="0" w:color="auto"/>
        <w:right w:val="none" w:sz="0" w:space="0" w:color="auto"/>
      </w:divBdr>
    </w:div>
    <w:div w:id="508179926">
      <w:bodyDiv w:val="1"/>
      <w:marLeft w:val="0"/>
      <w:marRight w:val="0"/>
      <w:marTop w:val="0"/>
      <w:marBottom w:val="0"/>
      <w:divBdr>
        <w:top w:val="none" w:sz="0" w:space="0" w:color="auto"/>
        <w:left w:val="none" w:sz="0" w:space="0" w:color="auto"/>
        <w:bottom w:val="none" w:sz="0" w:space="0" w:color="auto"/>
        <w:right w:val="none" w:sz="0" w:space="0" w:color="auto"/>
      </w:divBdr>
      <w:divsChild>
        <w:div w:id="564335129">
          <w:marLeft w:val="547"/>
          <w:marRight w:val="0"/>
          <w:marTop w:val="96"/>
          <w:marBottom w:val="0"/>
          <w:divBdr>
            <w:top w:val="none" w:sz="0" w:space="0" w:color="auto"/>
            <w:left w:val="none" w:sz="0" w:space="0" w:color="auto"/>
            <w:bottom w:val="none" w:sz="0" w:space="0" w:color="auto"/>
            <w:right w:val="none" w:sz="0" w:space="0" w:color="auto"/>
          </w:divBdr>
        </w:div>
        <w:div w:id="1941331463">
          <w:marLeft w:val="547"/>
          <w:marRight w:val="0"/>
          <w:marTop w:val="96"/>
          <w:marBottom w:val="0"/>
          <w:divBdr>
            <w:top w:val="none" w:sz="0" w:space="0" w:color="auto"/>
            <w:left w:val="none" w:sz="0" w:space="0" w:color="auto"/>
            <w:bottom w:val="none" w:sz="0" w:space="0" w:color="auto"/>
            <w:right w:val="none" w:sz="0" w:space="0" w:color="auto"/>
          </w:divBdr>
        </w:div>
        <w:div w:id="1793476144">
          <w:marLeft w:val="547"/>
          <w:marRight w:val="0"/>
          <w:marTop w:val="96"/>
          <w:marBottom w:val="0"/>
          <w:divBdr>
            <w:top w:val="none" w:sz="0" w:space="0" w:color="auto"/>
            <w:left w:val="none" w:sz="0" w:space="0" w:color="auto"/>
            <w:bottom w:val="none" w:sz="0" w:space="0" w:color="auto"/>
            <w:right w:val="none" w:sz="0" w:space="0" w:color="auto"/>
          </w:divBdr>
        </w:div>
        <w:div w:id="1546869764">
          <w:marLeft w:val="547"/>
          <w:marRight w:val="0"/>
          <w:marTop w:val="96"/>
          <w:marBottom w:val="0"/>
          <w:divBdr>
            <w:top w:val="none" w:sz="0" w:space="0" w:color="auto"/>
            <w:left w:val="none" w:sz="0" w:space="0" w:color="auto"/>
            <w:bottom w:val="none" w:sz="0" w:space="0" w:color="auto"/>
            <w:right w:val="none" w:sz="0" w:space="0" w:color="auto"/>
          </w:divBdr>
        </w:div>
        <w:div w:id="1191070052">
          <w:marLeft w:val="547"/>
          <w:marRight w:val="0"/>
          <w:marTop w:val="96"/>
          <w:marBottom w:val="0"/>
          <w:divBdr>
            <w:top w:val="none" w:sz="0" w:space="0" w:color="auto"/>
            <w:left w:val="none" w:sz="0" w:space="0" w:color="auto"/>
            <w:bottom w:val="none" w:sz="0" w:space="0" w:color="auto"/>
            <w:right w:val="none" w:sz="0" w:space="0" w:color="auto"/>
          </w:divBdr>
        </w:div>
      </w:divsChild>
    </w:div>
    <w:div w:id="558595887">
      <w:bodyDiv w:val="1"/>
      <w:marLeft w:val="0"/>
      <w:marRight w:val="0"/>
      <w:marTop w:val="0"/>
      <w:marBottom w:val="0"/>
      <w:divBdr>
        <w:top w:val="none" w:sz="0" w:space="0" w:color="auto"/>
        <w:left w:val="none" w:sz="0" w:space="0" w:color="auto"/>
        <w:bottom w:val="none" w:sz="0" w:space="0" w:color="auto"/>
        <w:right w:val="none" w:sz="0" w:space="0" w:color="auto"/>
      </w:divBdr>
    </w:div>
    <w:div w:id="613098301">
      <w:bodyDiv w:val="1"/>
      <w:marLeft w:val="0"/>
      <w:marRight w:val="0"/>
      <w:marTop w:val="0"/>
      <w:marBottom w:val="0"/>
      <w:divBdr>
        <w:top w:val="none" w:sz="0" w:space="0" w:color="auto"/>
        <w:left w:val="none" w:sz="0" w:space="0" w:color="auto"/>
        <w:bottom w:val="none" w:sz="0" w:space="0" w:color="auto"/>
        <w:right w:val="none" w:sz="0" w:space="0" w:color="auto"/>
      </w:divBdr>
    </w:div>
    <w:div w:id="636302921">
      <w:bodyDiv w:val="1"/>
      <w:marLeft w:val="0"/>
      <w:marRight w:val="0"/>
      <w:marTop w:val="0"/>
      <w:marBottom w:val="0"/>
      <w:divBdr>
        <w:top w:val="none" w:sz="0" w:space="0" w:color="auto"/>
        <w:left w:val="none" w:sz="0" w:space="0" w:color="auto"/>
        <w:bottom w:val="none" w:sz="0" w:space="0" w:color="auto"/>
        <w:right w:val="none" w:sz="0" w:space="0" w:color="auto"/>
      </w:divBdr>
    </w:div>
    <w:div w:id="692340227">
      <w:bodyDiv w:val="1"/>
      <w:marLeft w:val="0"/>
      <w:marRight w:val="0"/>
      <w:marTop w:val="0"/>
      <w:marBottom w:val="0"/>
      <w:divBdr>
        <w:top w:val="none" w:sz="0" w:space="0" w:color="auto"/>
        <w:left w:val="none" w:sz="0" w:space="0" w:color="auto"/>
        <w:bottom w:val="none" w:sz="0" w:space="0" w:color="auto"/>
        <w:right w:val="none" w:sz="0" w:space="0" w:color="auto"/>
      </w:divBdr>
    </w:div>
    <w:div w:id="723019507">
      <w:bodyDiv w:val="1"/>
      <w:marLeft w:val="0"/>
      <w:marRight w:val="0"/>
      <w:marTop w:val="0"/>
      <w:marBottom w:val="0"/>
      <w:divBdr>
        <w:top w:val="none" w:sz="0" w:space="0" w:color="auto"/>
        <w:left w:val="none" w:sz="0" w:space="0" w:color="auto"/>
        <w:bottom w:val="none" w:sz="0" w:space="0" w:color="auto"/>
        <w:right w:val="none" w:sz="0" w:space="0" w:color="auto"/>
      </w:divBdr>
      <w:divsChild>
        <w:div w:id="1803110173">
          <w:marLeft w:val="446"/>
          <w:marRight w:val="0"/>
          <w:marTop w:val="67"/>
          <w:marBottom w:val="0"/>
          <w:divBdr>
            <w:top w:val="none" w:sz="0" w:space="0" w:color="auto"/>
            <w:left w:val="none" w:sz="0" w:space="0" w:color="auto"/>
            <w:bottom w:val="none" w:sz="0" w:space="0" w:color="auto"/>
            <w:right w:val="none" w:sz="0" w:space="0" w:color="auto"/>
          </w:divBdr>
        </w:div>
        <w:div w:id="1278875230">
          <w:marLeft w:val="446"/>
          <w:marRight w:val="0"/>
          <w:marTop w:val="67"/>
          <w:marBottom w:val="0"/>
          <w:divBdr>
            <w:top w:val="none" w:sz="0" w:space="0" w:color="auto"/>
            <w:left w:val="none" w:sz="0" w:space="0" w:color="auto"/>
            <w:bottom w:val="none" w:sz="0" w:space="0" w:color="auto"/>
            <w:right w:val="none" w:sz="0" w:space="0" w:color="auto"/>
          </w:divBdr>
        </w:div>
        <w:div w:id="913855424">
          <w:marLeft w:val="446"/>
          <w:marRight w:val="0"/>
          <w:marTop w:val="67"/>
          <w:marBottom w:val="0"/>
          <w:divBdr>
            <w:top w:val="none" w:sz="0" w:space="0" w:color="auto"/>
            <w:left w:val="none" w:sz="0" w:space="0" w:color="auto"/>
            <w:bottom w:val="none" w:sz="0" w:space="0" w:color="auto"/>
            <w:right w:val="none" w:sz="0" w:space="0" w:color="auto"/>
          </w:divBdr>
        </w:div>
        <w:div w:id="625163903">
          <w:marLeft w:val="446"/>
          <w:marRight w:val="0"/>
          <w:marTop w:val="67"/>
          <w:marBottom w:val="0"/>
          <w:divBdr>
            <w:top w:val="none" w:sz="0" w:space="0" w:color="auto"/>
            <w:left w:val="none" w:sz="0" w:space="0" w:color="auto"/>
            <w:bottom w:val="none" w:sz="0" w:space="0" w:color="auto"/>
            <w:right w:val="none" w:sz="0" w:space="0" w:color="auto"/>
          </w:divBdr>
        </w:div>
        <w:div w:id="1643197935">
          <w:marLeft w:val="446"/>
          <w:marRight w:val="0"/>
          <w:marTop w:val="67"/>
          <w:marBottom w:val="0"/>
          <w:divBdr>
            <w:top w:val="none" w:sz="0" w:space="0" w:color="auto"/>
            <w:left w:val="none" w:sz="0" w:space="0" w:color="auto"/>
            <w:bottom w:val="none" w:sz="0" w:space="0" w:color="auto"/>
            <w:right w:val="none" w:sz="0" w:space="0" w:color="auto"/>
          </w:divBdr>
        </w:div>
      </w:divsChild>
    </w:div>
    <w:div w:id="730544732">
      <w:bodyDiv w:val="1"/>
      <w:marLeft w:val="0"/>
      <w:marRight w:val="0"/>
      <w:marTop w:val="0"/>
      <w:marBottom w:val="0"/>
      <w:divBdr>
        <w:top w:val="none" w:sz="0" w:space="0" w:color="auto"/>
        <w:left w:val="none" w:sz="0" w:space="0" w:color="auto"/>
        <w:bottom w:val="none" w:sz="0" w:space="0" w:color="auto"/>
        <w:right w:val="none" w:sz="0" w:space="0" w:color="auto"/>
      </w:divBdr>
    </w:div>
    <w:div w:id="892084569">
      <w:bodyDiv w:val="1"/>
      <w:marLeft w:val="0"/>
      <w:marRight w:val="0"/>
      <w:marTop w:val="0"/>
      <w:marBottom w:val="0"/>
      <w:divBdr>
        <w:top w:val="none" w:sz="0" w:space="0" w:color="auto"/>
        <w:left w:val="none" w:sz="0" w:space="0" w:color="auto"/>
        <w:bottom w:val="none" w:sz="0" w:space="0" w:color="auto"/>
        <w:right w:val="none" w:sz="0" w:space="0" w:color="auto"/>
      </w:divBdr>
    </w:div>
    <w:div w:id="919560798">
      <w:bodyDiv w:val="1"/>
      <w:marLeft w:val="0"/>
      <w:marRight w:val="0"/>
      <w:marTop w:val="0"/>
      <w:marBottom w:val="0"/>
      <w:divBdr>
        <w:top w:val="none" w:sz="0" w:space="0" w:color="auto"/>
        <w:left w:val="none" w:sz="0" w:space="0" w:color="auto"/>
        <w:bottom w:val="none" w:sz="0" w:space="0" w:color="auto"/>
        <w:right w:val="none" w:sz="0" w:space="0" w:color="auto"/>
      </w:divBdr>
      <w:divsChild>
        <w:div w:id="367025894">
          <w:marLeft w:val="0"/>
          <w:marRight w:val="0"/>
          <w:marTop w:val="0"/>
          <w:marBottom w:val="0"/>
          <w:divBdr>
            <w:top w:val="none" w:sz="0" w:space="0" w:color="auto"/>
            <w:left w:val="none" w:sz="0" w:space="0" w:color="auto"/>
            <w:bottom w:val="none" w:sz="0" w:space="0" w:color="auto"/>
            <w:right w:val="none" w:sz="0" w:space="0" w:color="auto"/>
          </w:divBdr>
          <w:divsChild>
            <w:div w:id="13426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4787">
      <w:bodyDiv w:val="1"/>
      <w:marLeft w:val="0"/>
      <w:marRight w:val="0"/>
      <w:marTop w:val="0"/>
      <w:marBottom w:val="0"/>
      <w:divBdr>
        <w:top w:val="none" w:sz="0" w:space="0" w:color="auto"/>
        <w:left w:val="none" w:sz="0" w:space="0" w:color="auto"/>
        <w:bottom w:val="none" w:sz="0" w:space="0" w:color="auto"/>
        <w:right w:val="none" w:sz="0" w:space="0" w:color="auto"/>
      </w:divBdr>
    </w:div>
    <w:div w:id="1230775094">
      <w:bodyDiv w:val="1"/>
      <w:marLeft w:val="0"/>
      <w:marRight w:val="0"/>
      <w:marTop w:val="0"/>
      <w:marBottom w:val="0"/>
      <w:divBdr>
        <w:top w:val="none" w:sz="0" w:space="0" w:color="auto"/>
        <w:left w:val="none" w:sz="0" w:space="0" w:color="auto"/>
        <w:bottom w:val="none" w:sz="0" w:space="0" w:color="auto"/>
        <w:right w:val="none" w:sz="0" w:space="0" w:color="auto"/>
      </w:divBdr>
    </w:div>
    <w:div w:id="1243834147">
      <w:bodyDiv w:val="1"/>
      <w:marLeft w:val="0"/>
      <w:marRight w:val="0"/>
      <w:marTop w:val="0"/>
      <w:marBottom w:val="0"/>
      <w:divBdr>
        <w:top w:val="none" w:sz="0" w:space="0" w:color="auto"/>
        <w:left w:val="none" w:sz="0" w:space="0" w:color="auto"/>
        <w:bottom w:val="none" w:sz="0" w:space="0" w:color="auto"/>
        <w:right w:val="none" w:sz="0" w:space="0" w:color="auto"/>
      </w:divBdr>
      <w:divsChild>
        <w:div w:id="2056734396">
          <w:marLeft w:val="0"/>
          <w:marRight w:val="0"/>
          <w:marTop w:val="750"/>
          <w:marBottom w:val="0"/>
          <w:divBdr>
            <w:top w:val="none" w:sz="0" w:space="0" w:color="auto"/>
            <w:left w:val="none" w:sz="0" w:space="0" w:color="auto"/>
            <w:bottom w:val="none" w:sz="0" w:space="0" w:color="auto"/>
            <w:right w:val="none" w:sz="0" w:space="0" w:color="auto"/>
          </w:divBdr>
        </w:div>
        <w:div w:id="849562961">
          <w:marLeft w:val="0"/>
          <w:marRight w:val="0"/>
          <w:marTop w:val="0"/>
          <w:marBottom w:val="0"/>
          <w:divBdr>
            <w:top w:val="none" w:sz="0" w:space="0" w:color="auto"/>
            <w:left w:val="none" w:sz="0" w:space="0" w:color="auto"/>
            <w:bottom w:val="none" w:sz="0" w:space="0" w:color="auto"/>
            <w:right w:val="none" w:sz="0" w:space="0" w:color="auto"/>
          </w:divBdr>
        </w:div>
      </w:divsChild>
    </w:div>
    <w:div w:id="1393235390">
      <w:bodyDiv w:val="1"/>
      <w:marLeft w:val="0"/>
      <w:marRight w:val="0"/>
      <w:marTop w:val="0"/>
      <w:marBottom w:val="0"/>
      <w:divBdr>
        <w:top w:val="none" w:sz="0" w:space="0" w:color="auto"/>
        <w:left w:val="none" w:sz="0" w:space="0" w:color="auto"/>
        <w:bottom w:val="none" w:sz="0" w:space="0" w:color="auto"/>
        <w:right w:val="none" w:sz="0" w:space="0" w:color="auto"/>
      </w:divBdr>
    </w:div>
    <w:div w:id="1398085996">
      <w:bodyDiv w:val="1"/>
      <w:marLeft w:val="0"/>
      <w:marRight w:val="0"/>
      <w:marTop w:val="0"/>
      <w:marBottom w:val="0"/>
      <w:divBdr>
        <w:top w:val="none" w:sz="0" w:space="0" w:color="auto"/>
        <w:left w:val="none" w:sz="0" w:space="0" w:color="auto"/>
        <w:bottom w:val="none" w:sz="0" w:space="0" w:color="auto"/>
        <w:right w:val="none" w:sz="0" w:space="0" w:color="auto"/>
      </w:divBdr>
    </w:div>
    <w:div w:id="1416970641">
      <w:bodyDiv w:val="1"/>
      <w:marLeft w:val="0"/>
      <w:marRight w:val="0"/>
      <w:marTop w:val="0"/>
      <w:marBottom w:val="0"/>
      <w:divBdr>
        <w:top w:val="none" w:sz="0" w:space="0" w:color="auto"/>
        <w:left w:val="none" w:sz="0" w:space="0" w:color="auto"/>
        <w:bottom w:val="none" w:sz="0" w:space="0" w:color="auto"/>
        <w:right w:val="none" w:sz="0" w:space="0" w:color="auto"/>
      </w:divBdr>
      <w:divsChild>
        <w:div w:id="370417952">
          <w:marLeft w:val="0"/>
          <w:marRight w:val="0"/>
          <w:marTop w:val="0"/>
          <w:marBottom w:val="0"/>
          <w:divBdr>
            <w:top w:val="none" w:sz="0" w:space="0" w:color="auto"/>
            <w:left w:val="none" w:sz="0" w:space="0" w:color="auto"/>
            <w:bottom w:val="none" w:sz="0" w:space="0" w:color="auto"/>
            <w:right w:val="none" w:sz="0" w:space="0" w:color="auto"/>
          </w:divBdr>
          <w:divsChild>
            <w:div w:id="940258959">
              <w:marLeft w:val="0"/>
              <w:marRight w:val="0"/>
              <w:marTop w:val="0"/>
              <w:marBottom w:val="0"/>
              <w:divBdr>
                <w:top w:val="none" w:sz="0" w:space="0" w:color="auto"/>
                <w:left w:val="none" w:sz="0" w:space="0" w:color="auto"/>
                <w:bottom w:val="none" w:sz="0" w:space="0" w:color="auto"/>
                <w:right w:val="none" w:sz="0" w:space="0" w:color="auto"/>
              </w:divBdr>
              <w:divsChild>
                <w:div w:id="116747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2296">
      <w:bodyDiv w:val="1"/>
      <w:marLeft w:val="0"/>
      <w:marRight w:val="0"/>
      <w:marTop w:val="0"/>
      <w:marBottom w:val="0"/>
      <w:divBdr>
        <w:top w:val="none" w:sz="0" w:space="0" w:color="auto"/>
        <w:left w:val="none" w:sz="0" w:space="0" w:color="auto"/>
        <w:bottom w:val="none" w:sz="0" w:space="0" w:color="auto"/>
        <w:right w:val="none" w:sz="0" w:space="0" w:color="auto"/>
      </w:divBdr>
    </w:div>
    <w:div w:id="1474984137">
      <w:bodyDiv w:val="1"/>
      <w:marLeft w:val="0"/>
      <w:marRight w:val="0"/>
      <w:marTop w:val="0"/>
      <w:marBottom w:val="0"/>
      <w:divBdr>
        <w:top w:val="none" w:sz="0" w:space="0" w:color="auto"/>
        <w:left w:val="none" w:sz="0" w:space="0" w:color="auto"/>
        <w:bottom w:val="none" w:sz="0" w:space="0" w:color="auto"/>
        <w:right w:val="none" w:sz="0" w:space="0" w:color="auto"/>
      </w:divBdr>
    </w:div>
    <w:div w:id="1569994661">
      <w:bodyDiv w:val="1"/>
      <w:marLeft w:val="0"/>
      <w:marRight w:val="0"/>
      <w:marTop w:val="0"/>
      <w:marBottom w:val="0"/>
      <w:divBdr>
        <w:top w:val="none" w:sz="0" w:space="0" w:color="auto"/>
        <w:left w:val="none" w:sz="0" w:space="0" w:color="auto"/>
        <w:bottom w:val="none" w:sz="0" w:space="0" w:color="auto"/>
        <w:right w:val="none" w:sz="0" w:space="0" w:color="auto"/>
      </w:divBdr>
    </w:div>
    <w:div w:id="1570192620">
      <w:bodyDiv w:val="1"/>
      <w:marLeft w:val="0"/>
      <w:marRight w:val="0"/>
      <w:marTop w:val="0"/>
      <w:marBottom w:val="0"/>
      <w:divBdr>
        <w:top w:val="none" w:sz="0" w:space="0" w:color="auto"/>
        <w:left w:val="none" w:sz="0" w:space="0" w:color="auto"/>
        <w:bottom w:val="none" w:sz="0" w:space="0" w:color="auto"/>
        <w:right w:val="none" w:sz="0" w:space="0" w:color="auto"/>
      </w:divBdr>
      <w:divsChild>
        <w:div w:id="1291134497">
          <w:marLeft w:val="547"/>
          <w:marRight w:val="0"/>
          <w:marTop w:val="96"/>
          <w:marBottom w:val="0"/>
          <w:divBdr>
            <w:top w:val="none" w:sz="0" w:space="0" w:color="auto"/>
            <w:left w:val="none" w:sz="0" w:space="0" w:color="auto"/>
            <w:bottom w:val="none" w:sz="0" w:space="0" w:color="auto"/>
            <w:right w:val="none" w:sz="0" w:space="0" w:color="auto"/>
          </w:divBdr>
        </w:div>
      </w:divsChild>
    </w:div>
    <w:div w:id="1594122779">
      <w:bodyDiv w:val="1"/>
      <w:marLeft w:val="0"/>
      <w:marRight w:val="0"/>
      <w:marTop w:val="0"/>
      <w:marBottom w:val="0"/>
      <w:divBdr>
        <w:top w:val="none" w:sz="0" w:space="0" w:color="auto"/>
        <w:left w:val="none" w:sz="0" w:space="0" w:color="auto"/>
        <w:bottom w:val="none" w:sz="0" w:space="0" w:color="auto"/>
        <w:right w:val="none" w:sz="0" w:space="0" w:color="auto"/>
      </w:divBdr>
    </w:div>
    <w:div w:id="1619293412">
      <w:bodyDiv w:val="1"/>
      <w:marLeft w:val="0"/>
      <w:marRight w:val="0"/>
      <w:marTop w:val="0"/>
      <w:marBottom w:val="0"/>
      <w:divBdr>
        <w:top w:val="none" w:sz="0" w:space="0" w:color="auto"/>
        <w:left w:val="none" w:sz="0" w:space="0" w:color="auto"/>
        <w:bottom w:val="none" w:sz="0" w:space="0" w:color="auto"/>
        <w:right w:val="none" w:sz="0" w:space="0" w:color="auto"/>
      </w:divBdr>
      <w:divsChild>
        <w:div w:id="167718354">
          <w:marLeft w:val="0"/>
          <w:marRight w:val="0"/>
          <w:marTop w:val="0"/>
          <w:marBottom w:val="0"/>
          <w:divBdr>
            <w:top w:val="none" w:sz="0" w:space="0" w:color="auto"/>
            <w:left w:val="none" w:sz="0" w:space="0" w:color="auto"/>
            <w:bottom w:val="none" w:sz="0" w:space="0" w:color="auto"/>
            <w:right w:val="none" w:sz="0" w:space="0" w:color="auto"/>
          </w:divBdr>
          <w:divsChild>
            <w:div w:id="1347363896">
              <w:marLeft w:val="0"/>
              <w:marRight w:val="0"/>
              <w:marTop w:val="0"/>
              <w:marBottom w:val="0"/>
              <w:divBdr>
                <w:top w:val="none" w:sz="0" w:space="0" w:color="auto"/>
                <w:left w:val="none" w:sz="0" w:space="0" w:color="auto"/>
                <w:bottom w:val="none" w:sz="0" w:space="0" w:color="auto"/>
                <w:right w:val="none" w:sz="0" w:space="0" w:color="auto"/>
              </w:divBdr>
              <w:divsChild>
                <w:div w:id="206458924">
                  <w:marLeft w:val="0"/>
                  <w:marRight w:val="0"/>
                  <w:marTop w:val="0"/>
                  <w:marBottom w:val="0"/>
                  <w:divBdr>
                    <w:top w:val="none" w:sz="0" w:space="0" w:color="auto"/>
                    <w:left w:val="none" w:sz="0" w:space="0" w:color="auto"/>
                    <w:bottom w:val="none" w:sz="0" w:space="0" w:color="auto"/>
                    <w:right w:val="none" w:sz="0" w:space="0" w:color="auto"/>
                  </w:divBdr>
                  <w:divsChild>
                    <w:div w:id="10195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70197">
      <w:bodyDiv w:val="1"/>
      <w:marLeft w:val="0"/>
      <w:marRight w:val="0"/>
      <w:marTop w:val="0"/>
      <w:marBottom w:val="0"/>
      <w:divBdr>
        <w:top w:val="none" w:sz="0" w:space="0" w:color="auto"/>
        <w:left w:val="none" w:sz="0" w:space="0" w:color="auto"/>
        <w:bottom w:val="none" w:sz="0" w:space="0" w:color="auto"/>
        <w:right w:val="none" w:sz="0" w:space="0" w:color="auto"/>
      </w:divBdr>
    </w:div>
    <w:div w:id="1799837200">
      <w:bodyDiv w:val="1"/>
      <w:marLeft w:val="0"/>
      <w:marRight w:val="0"/>
      <w:marTop w:val="0"/>
      <w:marBottom w:val="0"/>
      <w:divBdr>
        <w:top w:val="none" w:sz="0" w:space="0" w:color="auto"/>
        <w:left w:val="none" w:sz="0" w:space="0" w:color="auto"/>
        <w:bottom w:val="none" w:sz="0" w:space="0" w:color="auto"/>
        <w:right w:val="none" w:sz="0" w:space="0" w:color="auto"/>
      </w:divBdr>
    </w:div>
    <w:div w:id="1841235692">
      <w:bodyDiv w:val="1"/>
      <w:marLeft w:val="0"/>
      <w:marRight w:val="0"/>
      <w:marTop w:val="0"/>
      <w:marBottom w:val="0"/>
      <w:divBdr>
        <w:top w:val="none" w:sz="0" w:space="0" w:color="auto"/>
        <w:left w:val="none" w:sz="0" w:space="0" w:color="auto"/>
        <w:bottom w:val="none" w:sz="0" w:space="0" w:color="auto"/>
        <w:right w:val="none" w:sz="0" w:space="0" w:color="auto"/>
      </w:divBdr>
    </w:div>
    <w:div w:id="1914271547">
      <w:bodyDiv w:val="1"/>
      <w:marLeft w:val="0"/>
      <w:marRight w:val="0"/>
      <w:marTop w:val="0"/>
      <w:marBottom w:val="0"/>
      <w:divBdr>
        <w:top w:val="none" w:sz="0" w:space="0" w:color="auto"/>
        <w:left w:val="none" w:sz="0" w:space="0" w:color="auto"/>
        <w:bottom w:val="none" w:sz="0" w:space="0" w:color="auto"/>
        <w:right w:val="none" w:sz="0" w:space="0" w:color="auto"/>
      </w:divBdr>
    </w:div>
    <w:div w:id="1977878360">
      <w:bodyDiv w:val="1"/>
      <w:marLeft w:val="0"/>
      <w:marRight w:val="0"/>
      <w:marTop w:val="0"/>
      <w:marBottom w:val="0"/>
      <w:divBdr>
        <w:top w:val="none" w:sz="0" w:space="0" w:color="auto"/>
        <w:left w:val="none" w:sz="0" w:space="0" w:color="auto"/>
        <w:bottom w:val="none" w:sz="0" w:space="0" w:color="auto"/>
        <w:right w:val="none" w:sz="0" w:space="0" w:color="auto"/>
      </w:divBdr>
    </w:div>
    <w:div w:id="2002082166">
      <w:bodyDiv w:val="1"/>
      <w:marLeft w:val="0"/>
      <w:marRight w:val="0"/>
      <w:marTop w:val="0"/>
      <w:marBottom w:val="0"/>
      <w:divBdr>
        <w:top w:val="none" w:sz="0" w:space="0" w:color="auto"/>
        <w:left w:val="none" w:sz="0" w:space="0" w:color="auto"/>
        <w:bottom w:val="none" w:sz="0" w:space="0" w:color="auto"/>
        <w:right w:val="none" w:sz="0" w:space="0" w:color="auto"/>
      </w:divBdr>
    </w:div>
    <w:div w:id="2060737077">
      <w:bodyDiv w:val="1"/>
      <w:marLeft w:val="0"/>
      <w:marRight w:val="0"/>
      <w:marTop w:val="0"/>
      <w:marBottom w:val="0"/>
      <w:divBdr>
        <w:top w:val="none" w:sz="0" w:space="0" w:color="auto"/>
        <w:left w:val="none" w:sz="0" w:space="0" w:color="auto"/>
        <w:bottom w:val="none" w:sz="0" w:space="0" w:color="auto"/>
        <w:right w:val="none" w:sz="0" w:space="0" w:color="auto"/>
      </w:divBdr>
    </w:div>
    <w:div w:id="2075279699">
      <w:bodyDiv w:val="1"/>
      <w:marLeft w:val="0"/>
      <w:marRight w:val="0"/>
      <w:marTop w:val="0"/>
      <w:marBottom w:val="0"/>
      <w:divBdr>
        <w:top w:val="none" w:sz="0" w:space="0" w:color="auto"/>
        <w:left w:val="none" w:sz="0" w:space="0" w:color="auto"/>
        <w:bottom w:val="none" w:sz="0" w:space="0" w:color="auto"/>
        <w:right w:val="none" w:sz="0" w:space="0" w:color="auto"/>
      </w:divBdr>
    </w:div>
    <w:div w:id="2076509780">
      <w:bodyDiv w:val="1"/>
      <w:marLeft w:val="0"/>
      <w:marRight w:val="0"/>
      <w:marTop w:val="0"/>
      <w:marBottom w:val="0"/>
      <w:divBdr>
        <w:top w:val="none" w:sz="0" w:space="0" w:color="auto"/>
        <w:left w:val="none" w:sz="0" w:space="0" w:color="auto"/>
        <w:bottom w:val="none" w:sz="0" w:space="0" w:color="auto"/>
        <w:right w:val="none" w:sz="0" w:space="0" w:color="auto"/>
      </w:divBdr>
      <w:divsChild>
        <w:div w:id="597450191">
          <w:marLeft w:val="0"/>
          <w:marRight w:val="0"/>
          <w:marTop w:val="0"/>
          <w:marBottom w:val="0"/>
          <w:divBdr>
            <w:top w:val="none" w:sz="0" w:space="0" w:color="auto"/>
            <w:left w:val="none" w:sz="0" w:space="0" w:color="auto"/>
            <w:bottom w:val="none" w:sz="0" w:space="0" w:color="auto"/>
            <w:right w:val="none" w:sz="0" w:space="0" w:color="auto"/>
          </w:divBdr>
          <w:divsChild>
            <w:div w:id="381291502">
              <w:marLeft w:val="0"/>
              <w:marRight w:val="0"/>
              <w:marTop w:val="0"/>
              <w:marBottom w:val="0"/>
              <w:divBdr>
                <w:top w:val="none" w:sz="0" w:space="0" w:color="auto"/>
                <w:left w:val="none" w:sz="0" w:space="0" w:color="auto"/>
                <w:bottom w:val="none" w:sz="0" w:space="0" w:color="auto"/>
                <w:right w:val="none" w:sz="0" w:space="0" w:color="auto"/>
              </w:divBdr>
              <w:divsChild>
                <w:div w:id="97408987">
                  <w:marLeft w:val="0"/>
                  <w:marRight w:val="0"/>
                  <w:marTop w:val="0"/>
                  <w:marBottom w:val="0"/>
                  <w:divBdr>
                    <w:top w:val="none" w:sz="0" w:space="0" w:color="auto"/>
                    <w:left w:val="none" w:sz="0" w:space="0" w:color="auto"/>
                    <w:bottom w:val="none" w:sz="0" w:space="0" w:color="auto"/>
                    <w:right w:val="none" w:sz="0" w:space="0" w:color="auto"/>
                  </w:divBdr>
                  <w:divsChild>
                    <w:div w:id="17669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34980">
      <w:bodyDiv w:val="1"/>
      <w:marLeft w:val="0"/>
      <w:marRight w:val="0"/>
      <w:marTop w:val="0"/>
      <w:marBottom w:val="0"/>
      <w:divBdr>
        <w:top w:val="none" w:sz="0" w:space="0" w:color="auto"/>
        <w:left w:val="none" w:sz="0" w:space="0" w:color="auto"/>
        <w:bottom w:val="none" w:sz="0" w:space="0" w:color="auto"/>
        <w:right w:val="none" w:sz="0" w:space="0" w:color="auto"/>
      </w:divBdr>
    </w:div>
    <w:div w:id="210168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bi.nlm.nih.gov/pubmed/22050262" TargetMode="External"/><Relationship Id="rId18" Type="http://schemas.openxmlformats.org/officeDocument/2006/relationships/hyperlink" Target="https://www.drugsandalcohol.ie/22394/1/The%20impact%20of%20alcohol%20use%20disorders%20on%20family%20life.pdf" TargetMode="External"/><Relationship Id="rId26" Type="http://schemas.openxmlformats.org/officeDocument/2006/relationships/hyperlink" Target="http://www.hgr-css.be/" TargetMode="External"/><Relationship Id="rId3" Type="http://schemas.openxmlformats.org/officeDocument/2006/relationships/styles" Target="styles.xml"/><Relationship Id="rId21" Type="http://schemas.openxmlformats.org/officeDocument/2006/relationships/hyperlink" Target="https://www.niaaa.nih.gov/alcohol-health/overview-alcohol-consumption/alcohol-use-disorders" TargetMode="External"/><Relationship Id="rId7" Type="http://schemas.openxmlformats.org/officeDocument/2006/relationships/endnotes" Target="endnotes.xml"/><Relationship Id="rId12" Type="http://schemas.openxmlformats.org/officeDocument/2006/relationships/hyperlink" Target="http://www.reseaualcool.be" TargetMode="External"/><Relationship Id="rId17" Type="http://schemas.openxmlformats.org/officeDocument/2006/relationships/hyperlink" Target="http://www.euro.who.int/__data/assets/pdf_file/0003/160680/e96457.pdf" TargetMode="External"/><Relationship Id="rId25" Type="http://schemas.openxmlformats.org/officeDocument/2006/relationships/hyperlink" Target="http://apps.who.int/iris/bitstream/10665/112736/1/9789240692763_eng.pdf?ua=1&amp;ua=1"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vias.be/publications/Rijden%20onder%20invloed%20van%20alcohol%20en%20drugs/Rijden%20onder%20invloed%20van%20alcohol%20en%20drugs%20-%20Attitudemeting%20over%20verkeersveiligheid.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de-alcool.be" TargetMode="External"/><Relationship Id="rId24" Type="http://schemas.openxmlformats.org/officeDocument/2006/relationships/hyperlink" Target="http://www.vad.be/assets/richtlijn-voor-alcoholgebruik" TargetMode="External"/><Relationship Id="rId5" Type="http://schemas.openxmlformats.org/officeDocument/2006/relationships/webSettings" Target="webSettings.xml"/><Relationship Id="rId15" Type="http://schemas.openxmlformats.org/officeDocument/2006/relationships/hyperlink" Target="http://ec.europa.eu/health/alcohol/docs/eu_scoping_paper_cnapa_en.pdf" TargetMode="External"/><Relationship Id="rId23" Type="http://schemas.openxmlformats.org/officeDocument/2006/relationships/hyperlink" Target="file:///C:/Users/pht/Downloads/SWOV_Factsheet_Alcohol_2011.pdf" TargetMode="External"/><Relationship Id="rId28" Type="http://schemas.openxmlformats.org/officeDocument/2006/relationships/header" Target="header1.xml"/><Relationship Id="rId10" Type="http://schemas.openxmlformats.org/officeDocument/2006/relationships/hyperlink" Target="http://www.jeunesetalcool.be" TargetMode="External"/><Relationship Id="rId19" Type="http://schemas.openxmlformats.org/officeDocument/2006/relationships/hyperlink" Target="http://www.tijdschriftvoorpsychiatrie.nl/assets/articles/56-2014-1-artikel-lammer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fordrogues.be" TargetMode="External"/><Relationship Id="rId14" Type="http://schemas.openxmlformats.org/officeDocument/2006/relationships/hyperlink" Target="http://www.ncbi.nlm.nih.gov/mesh" TargetMode="External"/><Relationship Id="rId22" Type="http://schemas.openxmlformats.org/officeDocument/2006/relationships/hyperlink" Target="https://www.swov.nl/" TargetMode="External"/><Relationship Id="rId27" Type="http://schemas.openxmlformats.org/officeDocument/2006/relationships/hyperlink" Target="mailto:info.hgr-css@health.belgium.be"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CSS\CSH\MANUEL%20DE%20QUALITE\Templates\advies%20-%20templates%20avis\FR\160622_template_avis_cour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1A044-894E-7946-A83A-301BAE7B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G:\CSS\CSH\MANUEL DE QUALITE\Templates\advies - templates avis\FR\160622_template_avis_court_FR.dotx</Template>
  <TotalTime>0</TotalTime>
  <Pages>1</Pages>
  <Words>12360</Words>
  <Characters>67982</Characters>
  <Application>Microsoft Office Word</Application>
  <DocSecurity>0</DocSecurity>
  <Lines>566</Lines>
  <Paragraphs>160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2018-06-07T07:09:00Z</dcterms:created>
  <dcterms:modified xsi:type="dcterms:W3CDTF">2018-06-07T07:09:00Z</dcterms:modified>
</cp:coreProperties>
</file>